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pacing w:line="590" w:lineRule="exact"/>
        <w:ind w:firstLine="0"/>
        <w:jc w:val="center"/>
        <w:rPr>
          <w:rFonts w:ascii="方正小标宋简体" w:hAnsi="方正小标宋简体" w:eastAsia="方正小标宋简体" w:cs="方正小标宋简体"/>
          <w:sz w:val="44"/>
          <w:szCs w:val="44"/>
        </w:rPr>
      </w:pPr>
    </w:p>
    <w:p>
      <w:pPr>
        <w:autoSpaceDE/>
        <w:autoSpaceDN/>
        <w:adjustRightInd w:val="0"/>
        <w:spacing w:line="590" w:lineRule="exact"/>
        <w:ind w:firstLine="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关于进一步支持城市更新行动</w:t>
      </w:r>
    </w:p>
    <w:p>
      <w:pPr>
        <w:autoSpaceDE/>
        <w:autoSpaceDN/>
        <w:adjustRightInd w:val="0"/>
        <w:spacing w:line="590" w:lineRule="exact"/>
        <w:ind w:firstLine="0"/>
        <w:jc w:val="center"/>
        <w:rPr>
          <w:rFonts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rPr>
        <w:t>的改革创新政策措施</w:t>
      </w:r>
    </w:p>
    <w:p>
      <w:pPr>
        <w:autoSpaceDE/>
        <w:autoSpaceDN/>
        <w:adjustRightInd w:val="0"/>
        <w:spacing w:line="590" w:lineRule="exact"/>
        <w:ind w:firstLine="0"/>
        <w:jc w:val="center"/>
        <w:rPr>
          <w:rFonts w:eastAsia="方正楷体_GBK"/>
          <w:szCs w:val="32"/>
        </w:rPr>
      </w:pPr>
      <w:r>
        <w:rPr>
          <w:rFonts w:eastAsia="方正楷体_GBK"/>
          <w:szCs w:val="32"/>
        </w:rPr>
        <w:t>（公开</w:t>
      </w:r>
      <w:r>
        <w:rPr>
          <w:rFonts w:hint="eastAsia" w:eastAsia="方正楷体_GBK"/>
          <w:szCs w:val="32"/>
        </w:rPr>
        <w:t>征求意见</w:t>
      </w:r>
      <w:r>
        <w:rPr>
          <w:rFonts w:eastAsia="方正楷体_GBK"/>
          <w:szCs w:val="32"/>
        </w:rPr>
        <w:t>稿）</w:t>
      </w:r>
    </w:p>
    <w:p>
      <w:pPr>
        <w:autoSpaceDE/>
        <w:autoSpaceDN/>
        <w:adjustRightInd w:val="0"/>
        <w:spacing w:line="590" w:lineRule="exact"/>
        <w:rPr>
          <w:szCs w:val="32"/>
        </w:rPr>
      </w:pPr>
    </w:p>
    <w:p>
      <w:pPr>
        <w:autoSpaceDE/>
        <w:autoSpaceDN/>
        <w:adjustRightInd w:val="0"/>
        <w:spacing w:line="590" w:lineRule="exact"/>
        <w:ind w:firstLine="640" w:firstLineChars="200"/>
        <w:rPr>
          <w:szCs w:val="32"/>
        </w:rPr>
      </w:pPr>
      <w:r>
        <w:rPr>
          <w:szCs w:val="32"/>
        </w:rPr>
        <w:t>为深入贯彻</w:t>
      </w:r>
      <w:r>
        <w:rPr>
          <w:rFonts w:hint="eastAsia"/>
          <w:szCs w:val="32"/>
        </w:rPr>
        <w:t>习近平总书记关于城市工作的重要论述</w:t>
      </w:r>
      <w:r>
        <w:rPr>
          <w:szCs w:val="32"/>
        </w:rPr>
        <w:t>，</w:t>
      </w:r>
      <w:r>
        <w:rPr>
          <w:rFonts w:hint="eastAsia"/>
          <w:szCs w:val="32"/>
        </w:rPr>
        <w:t>认真</w:t>
      </w:r>
      <w:r>
        <w:rPr>
          <w:szCs w:val="32"/>
        </w:rPr>
        <w:t>落实党中央、国务院</w:t>
      </w:r>
      <w:r>
        <w:rPr>
          <w:rFonts w:hint="eastAsia"/>
          <w:szCs w:val="32"/>
        </w:rPr>
        <w:t>和省委、省政府</w:t>
      </w:r>
      <w:r>
        <w:rPr>
          <w:szCs w:val="32"/>
        </w:rPr>
        <w:t>相关部署要求，进一步加强改革创新</w:t>
      </w:r>
      <w:r>
        <w:rPr>
          <w:rFonts w:hint="eastAsia"/>
          <w:szCs w:val="32"/>
        </w:rPr>
        <w:t>、突破堵点难点</w:t>
      </w:r>
      <w:r>
        <w:rPr>
          <w:szCs w:val="32"/>
        </w:rPr>
        <w:t>，更大力度支持城市更新</w:t>
      </w:r>
      <w:r>
        <w:rPr>
          <w:rFonts w:hint="eastAsia"/>
          <w:szCs w:val="32"/>
        </w:rPr>
        <w:t>行动</w:t>
      </w:r>
      <w:r>
        <w:rPr>
          <w:szCs w:val="32"/>
        </w:rPr>
        <w:t>，促进城市高质量发展，现制定如下政策措施。</w:t>
      </w:r>
    </w:p>
    <w:p>
      <w:pPr>
        <w:spacing w:line="580" w:lineRule="exact"/>
        <w:ind w:firstLine="640" w:firstLineChars="200"/>
        <w:rPr>
          <w:szCs w:val="32"/>
        </w:rPr>
      </w:pPr>
      <w:r>
        <w:rPr>
          <w:rFonts w:hint="eastAsia" w:ascii="方正黑体_GBK" w:hAnsi="方正黑体_GBK" w:eastAsia="方正黑体_GBK" w:cs="方正黑体_GBK"/>
          <w:szCs w:val="32"/>
        </w:rPr>
        <w:t xml:space="preserve">一、优化规划管理 </w:t>
      </w:r>
      <w:r>
        <w:rPr>
          <w:szCs w:val="32"/>
        </w:rPr>
        <w:t xml:space="preserve">                 </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（一）提升规划编制弹性。</w:t>
      </w:r>
      <w:bookmarkStart w:id="0" w:name="OLE_LINK4"/>
      <w:r>
        <w:rPr>
          <w:szCs w:val="32"/>
        </w:rPr>
        <w:t>详细规划</w:t>
      </w:r>
      <w:r>
        <w:rPr>
          <w:rFonts w:hint="eastAsia"/>
          <w:szCs w:val="32"/>
        </w:rPr>
        <w:t>可</w:t>
      </w:r>
      <w:r>
        <w:rPr>
          <w:szCs w:val="32"/>
        </w:rPr>
        <w:t>依据国土空间总体规划分区主导功能，优化中心城区用地</w:t>
      </w:r>
      <w:r>
        <w:rPr>
          <w:rFonts w:hint="eastAsia"/>
          <w:szCs w:val="32"/>
        </w:rPr>
        <w:t>布局，提升</w:t>
      </w:r>
      <w:r>
        <w:rPr>
          <w:szCs w:val="32"/>
        </w:rPr>
        <w:t>存量</w:t>
      </w:r>
      <w:r>
        <w:rPr>
          <w:rFonts w:hint="eastAsia"/>
          <w:szCs w:val="32"/>
        </w:rPr>
        <w:t>更新品</w:t>
      </w:r>
      <w:r>
        <w:rPr>
          <w:szCs w:val="32"/>
        </w:rPr>
        <w:t>质</w:t>
      </w:r>
      <w:r>
        <w:rPr>
          <w:rFonts w:hint="eastAsia"/>
          <w:szCs w:val="32"/>
        </w:rPr>
        <w:t>；</w:t>
      </w:r>
      <w:r>
        <w:rPr>
          <w:szCs w:val="32"/>
        </w:rPr>
        <w:t>在确保布局总体稳定、</w:t>
      </w:r>
      <w:r>
        <w:rPr>
          <w:rFonts w:hint="eastAsia" w:ascii="方正仿宋_GBK" w:hAnsi="方正黑体_GBK" w:cs="方正黑体_GBK"/>
          <w:szCs w:val="32"/>
        </w:rPr>
        <w:t>主导功能不变</w:t>
      </w:r>
      <w:r>
        <w:rPr>
          <w:rFonts w:hint="eastAsia" w:ascii="方正仿宋_GBK"/>
          <w:szCs w:val="32"/>
        </w:rPr>
        <w:t>的前提下，可优化单元内城市绿线、蓝线、黄线的位置、边界和形态。</w:t>
      </w:r>
      <w:bookmarkEnd w:id="0"/>
      <w:r>
        <w:rPr>
          <w:rFonts w:hint="eastAsia" w:ascii="方正仿宋_GBK"/>
          <w:szCs w:val="32"/>
        </w:rPr>
        <w:t>各地按需编制详细规划，单元层次详细规划应明确城市控制线、主次干</w:t>
      </w:r>
      <w:r>
        <w:rPr>
          <w:rFonts w:hint="eastAsia" w:ascii="方正仿宋_GBK" w:hAnsi="方正黑体_GBK" w:cs="方正黑体_GBK"/>
          <w:szCs w:val="32"/>
        </w:rPr>
        <w:t>路</w:t>
      </w:r>
      <w:r>
        <w:rPr>
          <w:rFonts w:hint="eastAsia"/>
          <w:szCs w:val="32"/>
        </w:rPr>
        <w:t>及</w:t>
      </w:r>
      <w:r>
        <w:rPr>
          <w:szCs w:val="32"/>
        </w:rPr>
        <w:t>公共服务和基础设施规模布局等刚性管控要求</w:t>
      </w:r>
      <w:r>
        <w:rPr>
          <w:rFonts w:hint="eastAsia"/>
          <w:szCs w:val="32"/>
        </w:rPr>
        <w:t>，可布局一定比例留白用地</w:t>
      </w:r>
      <w:r>
        <w:rPr>
          <w:szCs w:val="32"/>
        </w:rPr>
        <w:t>；街区层次</w:t>
      </w:r>
      <w:r>
        <w:rPr>
          <w:rFonts w:hint="eastAsia"/>
          <w:szCs w:val="32"/>
        </w:rPr>
        <w:t>详细规划可</w:t>
      </w:r>
      <w:r>
        <w:rPr>
          <w:szCs w:val="32"/>
        </w:rPr>
        <w:t>适度调整单元层次弹性管控内容</w:t>
      </w:r>
      <w:r>
        <w:rPr>
          <w:rFonts w:hint="eastAsia"/>
          <w:szCs w:val="32"/>
        </w:rPr>
        <w:t>，</w:t>
      </w:r>
      <w:r>
        <w:rPr>
          <w:szCs w:val="32"/>
        </w:rPr>
        <w:t>明确</w:t>
      </w:r>
      <w:r>
        <w:rPr>
          <w:rFonts w:hint="eastAsia"/>
          <w:szCs w:val="32"/>
        </w:rPr>
        <w:t>细化留白用地</w:t>
      </w:r>
      <w:r>
        <w:rPr>
          <w:szCs w:val="32"/>
        </w:rPr>
        <w:t>具体</w:t>
      </w:r>
      <w:r>
        <w:rPr>
          <w:rFonts w:hint="eastAsia"/>
          <w:szCs w:val="32"/>
        </w:rPr>
        <w:t>用途</w:t>
      </w:r>
      <w:r>
        <w:rPr>
          <w:szCs w:val="32"/>
        </w:rPr>
        <w:t>。</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（二）增强规划指标适应性。</w:t>
      </w:r>
      <w:r>
        <w:rPr>
          <w:szCs w:val="32"/>
        </w:rPr>
        <w:t>各地</w:t>
      </w:r>
      <w:r>
        <w:rPr>
          <w:rFonts w:hint="eastAsia"/>
          <w:szCs w:val="32"/>
        </w:rPr>
        <w:t>可</w:t>
      </w:r>
      <w:r>
        <w:rPr>
          <w:szCs w:val="32"/>
        </w:rPr>
        <w:t>结合人口</w:t>
      </w:r>
      <w:r>
        <w:rPr>
          <w:rFonts w:hint="eastAsia"/>
          <w:szCs w:val="32"/>
        </w:rPr>
        <w:t>结构</w:t>
      </w:r>
      <w:r>
        <w:rPr>
          <w:szCs w:val="32"/>
        </w:rPr>
        <w:t>变化趋势，适应性优化</w:t>
      </w:r>
      <w:r>
        <w:rPr>
          <w:rFonts w:hint="eastAsia"/>
          <w:szCs w:val="32"/>
        </w:rPr>
        <w:t>教育、养老等</w:t>
      </w:r>
      <w:r>
        <w:rPr>
          <w:szCs w:val="32"/>
        </w:rPr>
        <w:t>公共服务设施规划配置标准</w:t>
      </w:r>
      <w:r>
        <w:rPr>
          <w:rFonts w:hint="eastAsia"/>
          <w:szCs w:val="32"/>
        </w:rPr>
        <w:t>和空间布局</w:t>
      </w:r>
      <w:r>
        <w:rPr>
          <w:szCs w:val="32"/>
        </w:rPr>
        <w:t>。更新项目规划指标无法达到现行标准规范的，可依据</w:t>
      </w:r>
      <w:r>
        <w:rPr>
          <w:rFonts w:hint="eastAsia"/>
          <w:szCs w:val="32"/>
        </w:rPr>
        <w:t>现行</w:t>
      </w:r>
      <w:r>
        <w:rPr>
          <w:szCs w:val="32"/>
        </w:rPr>
        <w:t>省城市规划管理技术规定，按不低于现状条件对规划指标进行优化完善。支持统一规划</w:t>
      </w:r>
      <w:r>
        <w:rPr>
          <w:rFonts w:hint="eastAsia"/>
          <w:szCs w:val="32"/>
        </w:rPr>
        <w:t>、统筹使用</w:t>
      </w:r>
      <w:r>
        <w:rPr>
          <w:szCs w:val="32"/>
        </w:rPr>
        <w:t>产业园内工业用地</w:t>
      </w:r>
      <w:r>
        <w:rPr>
          <w:rFonts w:hint="eastAsia"/>
          <w:szCs w:val="32"/>
        </w:rPr>
        <w:t>的</w:t>
      </w:r>
      <w:r>
        <w:rPr>
          <w:szCs w:val="32"/>
        </w:rPr>
        <w:t>兼容配套设施指标。</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（三）优化容积率管理政策。</w:t>
      </w:r>
      <w:r>
        <w:rPr>
          <w:szCs w:val="32"/>
        </w:rPr>
        <w:t>鼓励</w:t>
      </w:r>
      <w:r>
        <w:rPr>
          <w:rFonts w:hint="eastAsia"/>
          <w:szCs w:val="32"/>
        </w:rPr>
        <w:t>各地制定实施</w:t>
      </w:r>
      <w:r>
        <w:rPr>
          <w:szCs w:val="32"/>
        </w:rPr>
        <w:t>以民生公益贡献为导向的容积率奖励政策，支持探索容积率转移平衡机制。</w:t>
      </w:r>
      <w:r>
        <w:rPr>
          <w:rFonts w:hint="eastAsia"/>
          <w:szCs w:val="32"/>
        </w:rPr>
        <w:t>实施</w:t>
      </w:r>
      <w:r>
        <w:rPr>
          <w:szCs w:val="32"/>
        </w:rPr>
        <w:t>公共服务</w:t>
      </w:r>
      <w:r>
        <w:rPr>
          <w:rFonts w:hint="eastAsia"/>
          <w:szCs w:val="32"/>
        </w:rPr>
        <w:t>和</w:t>
      </w:r>
      <w:r>
        <w:rPr>
          <w:szCs w:val="32"/>
        </w:rPr>
        <w:t>基础设施</w:t>
      </w:r>
      <w:r>
        <w:rPr>
          <w:rFonts w:hint="eastAsia"/>
          <w:szCs w:val="32"/>
        </w:rPr>
        <w:t>、</w:t>
      </w:r>
      <w:r>
        <w:rPr>
          <w:szCs w:val="32"/>
        </w:rPr>
        <w:t>老旧住宅成套化改造等</w:t>
      </w:r>
      <w:r>
        <w:rPr>
          <w:rFonts w:hint="eastAsia"/>
          <w:szCs w:val="32"/>
        </w:rPr>
        <w:t>更新</w:t>
      </w:r>
      <w:r>
        <w:rPr>
          <w:szCs w:val="32"/>
        </w:rPr>
        <w:t>项目</w:t>
      </w:r>
      <w:r>
        <w:rPr>
          <w:rFonts w:hint="eastAsia"/>
          <w:szCs w:val="32"/>
        </w:rPr>
        <w:t>时</w:t>
      </w:r>
      <w:r>
        <w:rPr>
          <w:szCs w:val="32"/>
        </w:rPr>
        <w:t>，在对周边不产生负面影响</w:t>
      </w:r>
      <w:r>
        <w:rPr>
          <w:rFonts w:hint="eastAsia"/>
          <w:szCs w:val="32"/>
        </w:rPr>
        <w:t>的</w:t>
      </w:r>
      <w:r>
        <w:rPr>
          <w:szCs w:val="32"/>
        </w:rPr>
        <w:t>前提下，其新增建筑面积可不受规划容积率指标制约</w:t>
      </w:r>
      <w:r>
        <w:rPr>
          <w:rFonts w:hint="eastAsia"/>
          <w:szCs w:val="32"/>
        </w:rPr>
        <w:t>；</w:t>
      </w:r>
      <w:r>
        <w:rPr>
          <w:szCs w:val="32"/>
        </w:rPr>
        <w:t>在规划条件外</w:t>
      </w:r>
      <w:r>
        <w:rPr>
          <w:rFonts w:hint="eastAsia"/>
          <w:szCs w:val="32"/>
        </w:rPr>
        <w:t>对</w:t>
      </w:r>
      <w:r>
        <w:rPr>
          <w:szCs w:val="32"/>
        </w:rPr>
        <w:t>多保留</w:t>
      </w:r>
      <w:r>
        <w:rPr>
          <w:rFonts w:hint="eastAsia"/>
          <w:szCs w:val="32"/>
        </w:rPr>
        <w:t>不可移动</w:t>
      </w:r>
      <w:r>
        <w:rPr>
          <w:szCs w:val="32"/>
        </w:rPr>
        <w:t>文物和历史建筑</w:t>
      </w:r>
      <w:r>
        <w:rPr>
          <w:rFonts w:hint="eastAsia" w:ascii="方正仿宋_GBK" w:hAnsi="方正黑体_GBK" w:cs="方正黑体_GBK"/>
          <w:szCs w:val="32"/>
        </w:rPr>
        <w:t>以及设区市政府认定的具有历史保留价值的建筑</w:t>
      </w:r>
      <w:r>
        <w:rPr>
          <w:szCs w:val="32"/>
        </w:rPr>
        <w:t>、多无偿移交政府的公共服务设施等</w:t>
      </w:r>
      <w:r>
        <w:rPr>
          <w:rFonts w:hint="eastAsia"/>
          <w:szCs w:val="32"/>
        </w:rPr>
        <w:t>公益性贡献</w:t>
      </w:r>
      <w:r>
        <w:rPr>
          <w:szCs w:val="32"/>
        </w:rPr>
        <w:t>，可按贡献的建筑面积予以补</w:t>
      </w:r>
      <w:r>
        <w:rPr>
          <w:rFonts w:hint="eastAsia"/>
          <w:szCs w:val="32"/>
        </w:rPr>
        <w:t>充</w:t>
      </w:r>
      <w:r>
        <w:rPr>
          <w:szCs w:val="32"/>
        </w:rPr>
        <w:t>。</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（四）完善规划调整机制。</w:t>
      </w:r>
      <w:r>
        <w:rPr>
          <w:rFonts w:hint="eastAsia"/>
          <w:szCs w:val="32"/>
        </w:rPr>
        <w:t>建立与更新治理需求相适应的</w:t>
      </w:r>
      <w:r>
        <w:rPr>
          <w:szCs w:val="32"/>
        </w:rPr>
        <w:t>详细</w:t>
      </w:r>
      <w:r>
        <w:rPr>
          <w:rFonts w:hint="eastAsia"/>
          <w:szCs w:val="32"/>
        </w:rPr>
        <w:t>规划调整机制</w:t>
      </w:r>
      <w:r>
        <w:rPr>
          <w:rFonts w:hint="eastAsia" w:ascii="方正仿宋_GBK"/>
          <w:szCs w:val="32"/>
        </w:rPr>
        <w:t>，</w:t>
      </w:r>
      <w:r>
        <w:rPr>
          <w:rFonts w:hint="eastAsia" w:ascii="方正仿宋_GBK" w:hAnsi="方正黑体_GBK" w:cs="方正黑体_GBK"/>
          <w:szCs w:val="32"/>
        </w:rPr>
        <w:t>结合片区策划及时优化调整详细规划，</w:t>
      </w:r>
      <w:r>
        <w:rPr>
          <w:szCs w:val="32"/>
        </w:rPr>
        <w:t>符合正面清单增加混合地类</w:t>
      </w:r>
      <w:r>
        <w:rPr>
          <w:rFonts w:hint="eastAsia"/>
          <w:szCs w:val="32"/>
        </w:rPr>
        <w:t>或</w:t>
      </w:r>
      <w:r>
        <w:rPr>
          <w:szCs w:val="32"/>
        </w:rPr>
        <w:t>转换</w:t>
      </w:r>
      <w:r>
        <w:rPr>
          <w:rFonts w:hint="eastAsia"/>
          <w:szCs w:val="32"/>
        </w:rPr>
        <w:t>地类</w:t>
      </w:r>
      <w:r>
        <w:rPr>
          <w:szCs w:val="32"/>
        </w:rPr>
        <w:t>用途、符合条件微调城市控制线等情形</w:t>
      </w:r>
      <w:r>
        <w:rPr>
          <w:rFonts w:hint="eastAsia"/>
          <w:szCs w:val="32"/>
        </w:rPr>
        <w:t>可</w:t>
      </w:r>
      <w:r>
        <w:rPr>
          <w:szCs w:val="32"/>
        </w:rPr>
        <w:t>纳入</w:t>
      </w:r>
      <w:r>
        <w:rPr>
          <w:rFonts w:hint="eastAsia"/>
          <w:szCs w:val="32"/>
        </w:rPr>
        <w:t>详细规划动态维护（技术修正等），</w:t>
      </w:r>
      <w:r>
        <w:rPr>
          <w:szCs w:val="32"/>
        </w:rPr>
        <w:t>简化论证等程序</w:t>
      </w:r>
      <w:r>
        <w:rPr>
          <w:rFonts w:hint="eastAsia"/>
          <w:szCs w:val="32"/>
        </w:rPr>
        <w:t>，</w:t>
      </w:r>
      <w:r>
        <w:rPr>
          <w:szCs w:val="32"/>
        </w:rPr>
        <w:t>支持将修改必要性论证和编制环节合并。支持设区市政府探索</w:t>
      </w:r>
      <w:r>
        <w:rPr>
          <w:rFonts w:hint="eastAsia" w:ascii="方正仿宋_GBK" w:hAnsi="黑体"/>
          <w:szCs w:val="32"/>
        </w:rPr>
        <w:t>依法</w:t>
      </w:r>
      <w:r>
        <w:rPr>
          <w:rFonts w:hint="eastAsia" w:ascii="方正仿宋_GBK"/>
          <w:szCs w:val="32"/>
        </w:rPr>
        <w:t>委托市辖区政府审批</w:t>
      </w:r>
      <w:r>
        <w:rPr>
          <w:rFonts w:hint="eastAsia" w:ascii="方正仿宋_GBK" w:hAnsi="黑体"/>
          <w:szCs w:val="32"/>
        </w:rPr>
        <w:t>相关</w:t>
      </w:r>
      <w:r>
        <w:rPr>
          <w:szCs w:val="32"/>
        </w:rPr>
        <w:t>详细规划。</w:t>
      </w:r>
    </w:p>
    <w:p>
      <w:pPr>
        <w:spacing w:line="580" w:lineRule="exact"/>
        <w:ind w:firstLine="640" w:firstLineChars="200"/>
        <w:rPr>
          <w:rFonts w:ascii="方正黑体_GBK" w:hAnsi="方正黑体_GBK" w:eastAsia="方正黑体_GBK" w:cs="方正黑体_GBK"/>
          <w:szCs w:val="32"/>
        </w:rPr>
      </w:pPr>
      <w:r>
        <w:rPr>
          <w:rFonts w:hint="eastAsia" w:ascii="方正黑体_GBK" w:hAnsi="方正黑体_GBK" w:eastAsia="方正黑体_GBK" w:cs="方正黑体_GBK"/>
          <w:szCs w:val="32"/>
        </w:rPr>
        <w:t>二、完善供地政策</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（五）优化更新供地方式。</w:t>
      </w:r>
      <w:r>
        <w:rPr>
          <w:rFonts w:hint="eastAsia"/>
          <w:szCs w:val="32"/>
        </w:rPr>
        <w:t>工商业用地可采用弹性年期出让、长期租赁、先租后让等形式供应。</w:t>
      </w:r>
      <w:r>
        <w:rPr>
          <w:szCs w:val="32"/>
        </w:rPr>
        <w:t>符合《划拨用地目录》且只有一个意向用地者</w:t>
      </w:r>
      <w:r>
        <w:rPr>
          <w:rFonts w:hint="eastAsia" w:ascii="方正黑体_GBK" w:hAnsi="方正黑体_GBK" w:eastAsia="方正黑体_GBK" w:cs="方正黑体_GBK"/>
          <w:szCs w:val="32"/>
        </w:rPr>
        <w:t>、</w:t>
      </w:r>
      <w:r>
        <w:rPr>
          <w:szCs w:val="32"/>
        </w:rPr>
        <w:t>原土地使用权人申请有偿使用的，可协议出让；无法按宗地单独供应、不能单独利用的零星</w:t>
      </w:r>
      <w:r>
        <w:rPr>
          <w:rFonts w:hint="eastAsia"/>
          <w:szCs w:val="32"/>
        </w:rPr>
        <w:t>建设</w:t>
      </w:r>
      <w:r>
        <w:rPr>
          <w:szCs w:val="32"/>
        </w:rPr>
        <w:t>用地，可协议出让。标准厂房、科创平台等用地和可划拨的文教体养老</w:t>
      </w:r>
      <w:r>
        <w:rPr>
          <w:rFonts w:hint="eastAsia"/>
          <w:szCs w:val="32"/>
        </w:rPr>
        <w:t>、</w:t>
      </w:r>
      <w:r>
        <w:rPr>
          <w:szCs w:val="32"/>
        </w:rPr>
        <w:t xml:space="preserve">供水、能源等公共服务、基础设施项目用地，可以作价出资（入股）方式供应。支持 </w:t>
      </w:r>
      <w:r>
        <w:rPr>
          <w:rFonts w:hint="eastAsia"/>
          <w:szCs w:val="32"/>
        </w:rPr>
        <w:t>“</w:t>
      </w:r>
      <w:r>
        <w:rPr>
          <w:szCs w:val="32"/>
        </w:rPr>
        <w:t>带方案出让</w:t>
      </w:r>
      <w:r>
        <w:rPr>
          <w:rFonts w:hint="eastAsia" w:ascii="方正黑体_GBK" w:hAnsi="方正黑体_GBK" w:eastAsia="方正黑体_GBK" w:cs="方正黑体_GBK"/>
          <w:szCs w:val="32"/>
        </w:rPr>
        <w:t>”</w:t>
      </w:r>
      <w:r>
        <w:rPr>
          <w:szCs w:val="32"/>
        </w:rPr>
        <w:t>，探索综合评价出让。</w:t>
      </w:r>
      <w:r>
        <w:rPr>
          <w:rFonts w:hint="eastAsia" w:ascii="方正仿宋_GBK" w:hAnsi="方正黑体_GBK" w:cs="方正黑体_GBK"/>
          <w:szCs w:val="32"/>
        </w:rPr>
        <w:t>支持各地探索制定以租赁、有限年期划拨等方式临时利用空闲建设用地（不含临时用地）规则，明确期限及到期恢复措施，纳入“一张图”实施监管</w:t>
      </w:r>
      <w:r>
        <w:rPr>
          <w:rFonts w:hint="eastAsia" w:ascii="方正黑体_GBK" w:hAnsi="方正黑体_GBK" w:eastAsia="方正黑体_GBK" w:cs="方正黑体_GBK"/>
          <w:szCs w:val="32"/>
        </w:rPr>
        <w:t>。</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（六）鼓励用地功能兼容。</w:t>
      </w:r>
      <w:r>
        <w:rPr>
          <w:szCs w:val="32"/>
        </w:rPr>
        <w:t>按照保障安全、功能互利原则，在详细规划明确地块主导用途</w:t>
      </w:r>
      <w:r>
        <w:rPr>
          <w:rFonts w:hint="eastAsia"/>
          <w:szCs w:val="32"/>
        </w:rPr>
        <w:t>基础上，</w:t>
      </w:r>
      <w:r>
        <w:rPr>
          <w:szCs w:val="32"/>
        </w:rPr>
        <w:t>支持兼容一定</w:t>
      </w:r>
      <w:r>
        <w:rPr>
          <w:rFonts w:hint="eastAsia"/>
          <w:szCs w:val="32"/>
        </w:rPr>
        <w:t>比例</w:t>
      </w:r>
      <w:r>
        <w:rPr>
          <w:szCs w:val="32"/>
        </w:rPr>
        <w:t>其他</w:t>
      </w:r>
      <w:r>
        <w:rPr>
          <w:rFonts w:hint="eastAsia"/>
          <w:szCs w:val="32"/>
        </w:rPr>
        <w:t>功能</w:t>
      </w:r>
      <w:r>
        <w:rPr>
          <w:szCs w:val="32"/>
        </w:rPr>
        <w:t>。各地可细化兼容正负面清单和比例管控要求，按照主导</w:t>
      </w:r>
      <w:r>
        <w:rPr>
          <w:rFonts w:hint="eastAsia"/>
          <w:szCs w:val="32"/>
        </w:rPr>
        <w:t>用途</w:t>
      </w:r>
      <w:r>
        <w:rPr>
          <w:szCs w:val="32"/>
        </w:rPr>
        <w:t>确定供地方式和有偿使用底价。在原批准的建筑规模内进行兼容改造时，</w:t>
      </w:r>
      <w:r>
        <w:rPr>
          <w:rFonts w:hint="eastAsia" w:ascii="方正仿宋_GBK" w:hAnsi="方正黑体_GBK" w:cs="方正黑体_GBK"/>
          <w:szCs w:val="32"/>
        </w:rPr>
        <w:t>经自然资源部门认定</w:t>
      </w:r>
      <w:r>
        <w:rPr>
          <w:szCs w:val="32"/>
        </w:rPr>
        <w:t>符合正面清单的</w:t>
      </w:r>
      <w:r>
        <w:rPr>
          <w:rFonts w:hint="eastAsia"/>
          <w:szCs w:val="32"/>
        </w:rPr>
        <w:t>，</w:t>
      </w:r>
      <w:r>
        <w:rPr>
          <w:szCs w:val="32"/>
        </w:rPr>
        <w:t>无需调整详细规划、可不增收土地有偿使用价款。</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（七）推动混合开发利用。</w:t>
      </w:r>
      <w:r>
        <w:rPr>
          <w:rFonts w:hint="eastAsia"/>
          <w:szCs w:val="32"/>
        </w:rPr>
        <w:t>混合用地</w:t>
      </w:r>
      <w:r>
        <w:rPr>
          <w:szCs w:val="32"/>
        </w:rPr>
        <w:t>在详细规划</w:t>
      </w:r>
      <w:r>
        <w:rPr>
          <w:rFonts w:hint="eastAsia"/>
          <w:szCs w:val="32"/>
        </w:rPr>
        <w:t>中采取地类组合表达，具体比例可在</w:t>
      </w:r>
      <w:r>
        <w:rPr>
          <w:szCs w:val="32"/>
        </w:rPr>
        <w:t>规划条件中明确。各地可制定混合开发正面清单和管控要求，经详细规划审批机关批准后执行</w:t>
      </w:r>
      <w:r>
        <w:rPr>
          <w:rFonts w:hint="eastAsia"/>
          <w:szCs w:val="32"/>
        </w:rPr>
        <w:t>；更新项目符合正面清单的，视为符合详细规划。</w:t>
      </w:r>
      <w:r>
        <w:rPr>
          <w:szCs w:val="32"/>
        </w:rPr>
        <w:t>混合用地供应方式按主用途确定，主用途依据建筑面积占比确定。</w:t>
      </w:r>
      <w:r>
        <w:rPr>
          <w:rFonts w:hint="eastAsia"/>
          <w:szCs w:val="32"/>
        </w:rPr>
        <w:t>以</w:t>
      </w:r>
      <w:r>
        <w:rPr>
          <w:szCs w:val="32"/>
        </w:rPr>
        <w:t>有偿使用方式供应的，按不同用途分别评估地价，合同中列出各用途地面地价、楼面地价和总价。</w:t>
      </w:r>
    </w:p>
    <w:p>
      <w:pPr>
        <w:spacing w:line="580" w:lineRule="exact"/>
        <w:ind w:firstLine="640" w:firstLineChars="200"/>
        <w:rPr>
          <w:szCs w:val="32"/>
        </w:rPr>
      </w:pPr>
      <w:r>
        <w:rPr>
          <w:rFonts w:hint="eastAsia" w:ascii="方正楷体_GBK" w:hAnsi="方正楷体_GBK" w:eastAsia="方正楷体_GBK" w:cs="方正楷体_GBK"/>
          <w:szCs w:val="32"/>
        </w:rPr>
        <w:t>（八）支持建筑功能和土地用途合理转换。</w:t>
      </w:r>
      <w:r>
        <w:rPr>
          <w:szCs w:val="32"/>
        </w:rPr>
        <w:t>各地</w:t>
      </w:r>
      <w:r>
        <w:rPr>
          <w:rFonts w:hint="eastAsia"/>
          <w:szCs w:val="32"/>
        </w:rPr>
        <w:t>可</w:t>
      </w:r>
      <w:r>
        <w:rPr>
          <w:szCs w:val="32"/>
        </w:rPr>
        <w:t>制定既有建筑不增加容积率和高度情况下</w:t>
      </w:r>
      <w:r>
        <w:rPr>
          <w:rFonts w:hint="eastAsia"/>
          <w:szCs w:val="32"/>
        </w:rPr>
        <w:t>的临时利用</w:t>
      </w:r>
      <w:r>
        <w:rPr>
          <w:szCs w:val="32"/>
        </w:rPr>
        <w:t>管控规则</w:t>
      </w:r>
      <w:r>
        <w:rPr>
          <w:rFonts w:hint="eastAsia"/>
          <w:szCs w:val="32"/>
        </w:rPr>
        <w:t>，对功能转换实行</w:t>
      </w:r>
      <w:r>
        <w:rPr>
          <w:szCs w:val="32"/>
        </w:rPr>
        <w:t>正面清单</w:t>
      </w:r>
      <w:r>
        <w:rPr>
          <w:rFonts w:hint="eastAsia"/>
          <w:szCs w:val="32"/>
        </w:rPr>
        <w:t>管理</w:t>
      </w:r>
      <w:r>
        <w:rPr>
          <w:szCs w:val="32"/>
        </w:rPr>
        <w:t>，</w:t>
      </w:r>
      <w:r>
        <w:rPr>
          <w:rFonts w:hint="eastAsia" w:ascii="方正仿宋_GBK" w:hAnsi="方正黑体_GBK" w:cs="方正黑体_GBK"/>
          <w:szCs w:val="32"/>
        </w:rPr>
        <w:t>经自然资源部门认定</w:t>
      </w:r>
      <w:r>
        <w:rPr>
          <w:rFonts w:hint="eastAsia"/>
          <w:szCs w:val="32"/>
        </w:rPr>
        <w:t>符合</w:t>
      </w:r>
      <w:r>
        <w:rPr>
          <w:szCs w:val="32"/>
        </w:rPr>
        <w:t>正面清单的</w:t>
      </w:r>
      <w:r>
        <w:rPr>
          <w:rFonts w:hint="eastAsia"/>
          <w:szCs w:val="32"/>
        </w:rPr>
        <w:t>，</w:t>
      </w:r>
      <w:r>
        <w:rPr>
          <w:szCs w:val="32"/>
        </w:rPr>
        <w:t>无需办理规划许可。利用存量房产、土地资源发展国家、省、市支持的生产性和生活性服务业</w:t>
      </w:r>
      <w:r>
        <w:rPr>
          <w:rFonts w:hint="eastAsia"/>
          <w:szCs w:val="32"/>
        </w:rPr>
        <w:t>的</w:t>
      </w:r>
      <w:r>
        <w:rPr>
          <w:szCs w:val="32"/>
        </w:rPr>
        <w:t>，可</w:t>
      </w:r>
      <w:r>
        <w:rPr>
          <w:rFonts w:hint="eastAsia"/>
          <w:szCs w:val="32"/>
        </w:rPr>
        <w:t>适用</w:t>
      </w:r>
      <w:r>
        <w:rPr>
          <w:szCs w:val="32"/>
        </w:rPr>
        <w:t>5年过渡期政策，过渡期内可不收取有偿使用价款</w:t>
      </w:r>
      <w:r>
        <w:rPr>
          <w:rFonts w:hint="eastAsia"/>
          <w:szCs w:val="32"/>
        </w:rPr>
        <w:t>。</w:t>
      </w:r>
      <w:r>
        <w:rPr>
          <w:szCs w:val="32"/>
        </w:rPr>
        <w:t>各地可探索</w:t>
      </w:r>
      <w:r>
        <w:rPr>
          <w:rFonts w:hint="eastAsia"/>
          <w:szCs w:val="32"/>
        </w:rPr>
        <w:t>制定</w:t>
      </w:r>
      <w:r>
        <w:rPr>
          <w:szCs w:val="32"/>
        </w:rPr>
        <w:t>过渡期续期</w:t>
      </w:r>
      <w:r>
        <w:rPr>
          <w:rFonts w:hint="eastAsia"/>
          <w:szCs w:val="32"/>
        </w:rPr>
        <w:t>和</w:t>
      </w:r>
      <w:r>
        <w:rPr>
          <w:szCs w:val="32"/>
        </w:rPr>
        <w:t>征缴土地收益金等</w:t>
      </w:r>
      <w:r>
        <w:rPr>
          <w:rFonts w:hint="eastAsia"/>
          <w:szCs w:val="32"/>
        </w:rPr>
        <w:t>管理</w:t>
      </w:r>
      <w:r>
        <w:rPr>
          <w:szCs w:val="32"/>
        </w:rPr>
        <w:t>办法。</w:t>
      </w:r>
      <w:bookmarkStart w:id="1" w:name="OLE_LINK5"/>
      <w:r>
        <w:rPr>
          <w:szCs w:val="32"/>
        </w:rPr>
        <w:t>原土地使用权人申请改变土地用途</w:t>
      </w:r>
      <w:r>
        <w:rPr>
          <w:rFonts w:hint="eastAsia"/>
          <w:szCs w:val="32"/>
        </w:rPr>
        <w:t>、</w:t>
      </w:r>
      <w:r>
        <w:rPr>
          <w:szCs w:val="32"/>
        </w:rPr>
        <w:t>符合规划</w:t>
      </w:r>
      <w:r>
        <w:rPr>
          <w:rFonts w:hint="eastAsia"/>
          <w:szCs w:val="32"/>
        </w:rPr>
        <w:t>的，</w:t>
      </w:r>
      <w:r>
        <w:rPr>
          <w:szCs w:val="32"/>
        </w:rPr>
        <w:t>可以协议</w:t>
      </w:r>
      <w:r>
        <w:rPr>
          <w:rFonts w:hint="eastAsia"/>
          <w:szCs w:val="32"/>
        </w:rPr>
        <w:t>方式有偿供地</w:t>
      </w:r>
      <w:r>
        <w:rPr>
          <w:szCs w:val="32"/>
        </w:rPr>
        <w:t>，但变更为商品住宅和法律法规政策等明确</w:t>
      </w:r>
      <w:r>
        <w:rPr>
          <w:rFonts w:hint="eastAsia"/>
          <w:szCs w:val="32"/>
        </w:rPr>
        <w:t>需</w:t>
      </w:r>
      <w:r>
        <w:rPr>
          <w:szCs w:val="32"/>
        </w:rPr>
        <w:t>收回的除外。</w:t>
      </w:r>
      <w:bookmarkEnd w:id="1"/>
    </w:p>
    <w:p>
      <w:pPr>
        <w:spacing w:line="580" w:lineRule="exact"/>
        <w:ind w:firstLine="640" w:firstLineChars="200"/>
        <w:rPr>
          <w:szCs w:val="32"/>
        </w:rPr>
      </w:pPr>
      <w:r>
        <w:rPr>
          <w:rFonts w:hint="eastAsia" w:ascii="方正楷体_GBK" w:hAnsi="方正楷体_GBK" w:eastAsia="方正楷体_GBK" w:cs="方正楷体_GBK"/>
          <w:szCs w:val="32"/>
        </w:rPr>
        <w:t>（九）鼓励联动成片开发。</w:t>
      </w:r>
      <w:r>
        <w:rPr>
          <w:szCs w:val="32"/>
        </w:rPr>
        <w:t>支持通过收储再供地、按份额定量不定位分割产权等方式，实施空间互换整合</w:t>
      </w:r>
      <w:r>
        <w:rPr>
          <w:rFonts w:hint="eastAsia"/>
          <w:szCs w:val="32"/>
        </w:rPr>
        <w:t>、</w:t>
      </w:r>
      <w:r>
        <w:rPr>
          <w:szCs w:val="32"/>
        </w:rPr>
        <w:t>连片更新改造。产业链</w:t>
      </w:r>
      <w:r>
        <w:rPr>
          <w:rFonts w:hint="eastAsia"/>
          <w:szCs w:val="32"/>
        </w:rPr>
        <w:t>紧密关联的</w:t>
      </w:r>
      <w:r>
        <w:rPr>
          <w:szCs w:val="32"/>
        </w:rPr>
        <w:t>两宗</w:t>
      </w:r>
      <w:r>
        <w:rPr>
          <w:rFonts w:hint="eastAsia"/>
          <w:szCs w:val="32"/>
        </w:rPr>
        <w:t>及</w:t>
      </w:r>
      <w:r>
        <w:rPr>
          <w:szCs w:val="32"/>
        </w:rPr>
        <w:t>以上产业用地可组合供应；商服、公共服务设施</w:t>
      </w:r>
      <w:r>
        <w:rPr>
          <w:rFonts w:hint="eastAsia"/>
          <w:szCs w:val="32"/>
        </w:rPr>
        <w:t>等</w:t>
      </w:r>
      <w:r>
        <w:rPr>
          <w:szCs w:val="32"/>
        </w:rPr>
        <w:t>用地可与住宅用地组合供应</w:t>
      </w:r>
      <w:r>
        <w:rPr>
          <w:rFonts w:hint="eastAsia"/>
          <w:szCs w:val="32"/>
        </w:rPr>
        <w:t>并</w:t>
      </w:r>
      <w:r>
        <w:rPr>
          <w:szCs w:val="32"/>
        </w:rPr>
        <w:t>同步建成投入运营；更新项目包含多个分散地块的可整体供应；可探索将同一规划单元内相邻多宗住宅用地整体供应。对集中成片开发涉及的零星低效用地，支持探索集体建设用地与国有建设用地置换。</w:t>
      </w:r>
    </w:p>
    <w:p>
      <w:pPr>
        <w:spacing w:line="580" w:lineRule="exact"/>
        <w:ind w:firstLine="640" w:firstLineChars="200"/>
        <w:rPr>
          <w:szCs w:val="32"/>
        </w:rPr>
      </w:pPr>
      <w:r>
        <w:rPr>
          <w:rFonts w:hint="eastAsia" w:ascii="方正楷体_GBK" w:hAnsi="方正楷体_GBK" w:eastAsia="方正楷体_GBK" w:cs="方正楷体_GBK"/>
          <w:szCs w:val="32"/>
        </w:rPr>
        <w:t>（十）合理确定使用年期。</w:t>
      </w:r>
      <w:r>
        <w:rPr>
          <w:szCs w:val="32"/>
        </w:rPr>
        <w:t>混合用地出让年限</w:t>
      </w:r>
      <w:r>
        <w:rPr>
          <w:rFonts w:hint="eastAsia"/>
          <w:szCs w:val="32"/>
        </w:rPr>
        <w:t>可</w:t>
      </w:r>
      <w:r>
        <w:rPr>
          <w:szCs w:val="32"/>
        </w:rPr>
        <w:t>按宗地所含具体土地用途分别确定，</w:t>
      </w:r>
      <w:r>
        <w:rPr>
          <w:rFonts w:hint="eastAsia" w:ascii="方正仿宋_GBK" w:hAnsi="黑体"/>
          <w:szCs w:val="32"/>
        </w:rPr>
        <w:t>不同用途不动产难以分割、只有一个使用权人的</w:t>
      </w:r>
      <w:r>
        <w:rPr>
          <w:szCs w:val="32"/>
        </w:rPr>
        <w:t>也可统一按综合用地确定</w:t>
      </w:r>
      <w:r>
        <w:rPr>
          <w:rFonts w:hint="eastAsia"/>
          <w:szCs w:val="32"/>
        </w:rPr>
        <w:t>，</w:t>
      </w:r>
      <w:r>
        <w:rPr>
          <w:szCs w:val="32"/>
        </w:rPr>
        <w:t>最高</w:t>
      </w:r>
      <w:r>
        <w:rPr>
          <w:rFonts w:hint="eastAsia"/>
          <w:szCs w:val="32"/>
        </w:rPr>
        <w:t>不超过</w:t>
      </w:r>
      <w:r>
        <w:rPr>
          <w:szCs w:val="32"/>
        </w:rPr>
        <w:t>50年。相邻工商业用地并宗</w:t>
      </w:r>
      <w:r>
        <w:rPr>
          <w:rFonts w:hint="eastAsia"/>
          <w:szCs w:val="32"/>
        </w:rPr>
        <w:t>时</w:t>
      </w:r>
      <w:r>
        <w:rPr>
          <w:szCs w:val="32"/>
        </w:rPr>
        <w:t>，用途一致的可按并宗地块最长剩余年限确定并宗后土地使用年限，补缴有偿使用价款；用途不一致的参照混合用地办理。各地可探索</w:t>
      </w:r>
      <w:r>
        <w:rPr>
          <w:rFonts w:hint="eastAsia"/>
          <w:szCs w:val="32"/>
        </w:rPr>
        <w:t>制定工商业用地</w:t>
      </w:r>
      <w:r>
        <w:rPr>
          <w:szCs w:val="32"/>
        </w:rPr>
        <w:t>续期管理规则。</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（十一）优化地价计收规则。</w:t>
      </w:r>
      <w:r>
        <w:rPr>
          <w:szCs w:val="32"/>
        </w:rPr>
        <w:t>工业用地出让底价可按不低于基准地价70%且不低于成本价的原则确定，成本价采取片区内不同用途土地面积或土地价格占比分摊计算。支持 “零增地”技改、“工业上楼”，</w:t>
      </w:r>
      <w:r>
        <w:rPr>
          <w:rFonts w:hint="eastAsia" w:ascii="方正仿宋_GBK" w:hAnsi="方正黑体_GBK" w:cs="方正黑体_GBK"/>
          <w:szCs w:val="32"/>
        </w:rPr>
        <w:t>现有</w:t>
      </w:r>
      <w:r>
        <w:rPr>
          <w:rFonts w:hint="eastAsia" w:ascii="方正仿宋_GBK"/>
          <w:szCs w:val="32"/>
        </w:rPr>
        <w:t>工业用地增加容积率</w:t>
      </w:r>
      <w:r>
        <w:rPr>
          <w:rFonts w:hint="eastAsia" w:ascii="方正仿宋_GBK" w:hAnsi="方正黑体_GBK" w:cs="方正黑体_GBK"/>
          <w:szCs w:val="32"/>
        </w:rPr>
        <w:t>的，</w:t>
      </w:r>
      <w:r>
        <w:rPr>
          <w:rFonts w:hint="eastAsia" w:ascii="方正仿宋_GBK"/>
          <w:szCs w:val="32"/>
        </w:rPr>
        <w:t>不</w:t>
      </w:r>
      <w:r>
        <w:rPr>
          <w:rFonts w:hint="eastAsia" w:ascii="方正仿宋_GBK" w:hAnsi="方正黑体_GBK" w:cs="方正黑体_GBK"/>
          <w:szCs w:val="32"/>
        </w:rPr>
        <w:t>再</w:t>
      </w:r>
      <w:r>
        <w:rPr>
          <w:rFonts w:hint="eastAsia" w:ascii="方正仿宋_GBK"/>
          <w:szCs w:val="32"/>
        </w:rPr>
        <w:t>增收</w:t>
      </w:r>
      <w:r>
        <w:rPr>
          <w:rFonts w:hint="eastAsia" w:ascii="方正仿宋_GBK" w:hAnsi="方正黑体_GBK" w:cs="方正黑体_GBK"/>
          <w:szCs w:val="32"/>
        </w:rPr>
        <w:t>土地</w:t>
      </w:r>
      <w:r>
        <w:rPr>
          <w:rFonts w:hint="eastAsia" w:ascii="方正仿宋_GBK"/>
          <w:szCs w:val="32"/>
        </w:rPr>
        <w:t>价款。老旧住宅</w:t>
      </w:r>
      <w:bookmarkStart w:id="2" w:name="OLE_LINK20"/>
      <w:bookmarkStart w:id="3" w:name="OLE_LINK21"/>
      <w:r>
        <w:rPr>
          <w:rFonts w:hint="eastAsia" w:ascii="方正仿宋_GBK"/>
          <w:szCs w:val="32"/>
        </w:rPr>
        <w:t>成套</w:t>
      </w:r>
      <w:bookmarkEnd w:id="2"/>
      <w:bookmarkEnd w:id="3"/>
      <w:r>
        <w:rPr>
          <w:rFonts w:hint="eastAsia" w:ascii="方正仿宋_GBK"/>
          <w:szCs w:val="32"/>
        </w:rPr>
        <w:t>化改造增加建筑面积的，不动产登记时予以标注，转让时按规定或约定</w:t>
      </w:r>
      <w:r>
        <w:rPr>
          <w:rFonts w:hint="eastAsia" w:ascii="方正仿宋_GBK" w:hAnsi="方正黑体_GBK" w:cs="方正黑体_GBK"/>
          <w:szCs w:val="32"/>
        </w:rPr>
        <w:t>补缴土地价款</w:t>
      </w:r>
      <w:r>
        <w:rPr>
          <w:szCs w:val="32"/>
        </w:rPr>
        <w:t>。地下空间使用权价格</w:t>
      </w:r>
      <w:r>
        <w:rPr>
          <w:rFonts w:hint="eastAsia"/>
          <w:szCs w:val="32"/>
        </w:rPr>
        <w:t>按照</w:t>
      </w:r>
      <w:r>
        <w:rPr>
          <w:szCs w:val="32"/>
        </w:rPr>
        <w:t>向下递减原则评估确定，地下三层及以下可减免</w:t>
      </w:r>
      <w:r>
        <w:rPr>
          <w:rFonts w:hint="eastAsia"/>
          <w:szCs w:val="32"/>
        </w:rPr>
        <w:t>有偿使用价款</w:t>
      </w:r>
      <w:r>
        <w:rPr>
          <w:szCs w:val="32"/>
        </w:rPr>
        <w:t>。</w:t>
      </w:r>
    </w:p>
    <w:p>
      <w:pPr>
        <w:spacing w:line="580" w:lineRule="exact"/>
        <w:ind w:firstLine="640" w:firstLineChars="200"/>
        <w:rPr>
          <w:rFonts w:ascii="方正黑体_GBK" w:hAnsi="方正黑体_GBK" w:eastAsia="方正黑体_GBK" w:cs="方正黑体_GBK"/>
          <w:szCs w:val="32"/>
        </w:rPr>
      </w:pPr>
      <w:r>
        <w:rPr>
          <w:rFonts w:hint="eastAsia" w:ascii="方正黑体_GBK" w:hAnsi="方正黑体_GBK" w:eastAsia="方正黑体_GBK" w:cs="方正黑体_GBK"/>
          <w:szCs w:val="32"/>
        </w:rPr>
        <w:t>三、创新产权归集和不动产登记方式</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（十二）优化产权归集配置。</w:t>
      </w:r>
      <w:r>
        <w:rPr>
          <w:szCs w:val="32"/>
        </w:rPr>
        <w:t>历史遗留问题</w:t>
      </w:r>
      <w:r>
        <w:rPr>
          <w:rFonts w:hint="eastAsia"/>
          <w:szCs w:val="32"/>
        </w:rPr>
        <w:t>按照国家</w:t>
      </w:r>
      <w:r>
        <w:rPr>
          <w:szCs w:val="32"/>
        </w:rPr>
        <w:t>、省和各地已有化解政策妥善处</w:t>
      </w:r>
      <w:r>
        <w:rPr>
          <w:rFonts w:hint="eastAsia" w:ascii="方正仿宋_GBK"/>
          <w:szCs w:val="32"/>
        </w:rPr>
        <w:t>置后予以登记。更新启动时，涉及多产权主体的，由产权人依法共同决议确定实施主体归集产权，</w:t>
      </w:r>
      <w:r>
        <w:rPr>
          <w:rFonts w:hint="eastAsia" w:ascii="方正仿宋_GBK" w:hAnsi="方正黑体_GBK" w:cs="方正黑体_GBK"/>
          <w:szCs w:val="32"/>
        </w:rPr>
        <w:t>在履行相关审批手续后，</w:t>
      </w:r>
      <w:r>
        <w:rPr>
          <w:rFonts w:hint="eastAsia" w:ascii="方正仿宋_GBK"/>
          <w:szCs w:val="32"/>
        </w:rPr>
        <w:t>可将原按份共有变更为共同共有；更新过程中，可按照产权调整协议等为原所有权、抵押权等权利主体办理预告登记；更新完成后，运用</w:t>
      </w:r>
      <w:r>
        <w:rPr>
          <w:rFonts w:hint="eastAsia" w:ascii="方正仿宋_GBK" w:hAnsi="方正黑体_GBK" w:cs="方正黑体_GBK"/>
          <w:szCs w:val="32"/>
        </w:rPr>
        <w:t>首次登记、变更登记等方式进行产权登记</w:t>
      </w:r>
      <w:r>
        <w:rPr>
          <w:rFonts w:hint="eastAsia" w:ascii="方正黑体_GBK" w:hAnsi="方正黑体_GBK" w:eastAsia="方正黑体_GBK" w:cs="方正黑体_GBK"/>
          <w:szCs w:val="32"/>
        </w:rPr>
        <w:t>。</w:t>
      </w:r>
    </w:p>
    <w:p>
      <w:pPr>
        <w:spacing w:line="580" w:lineRule="exact"/>
        <w:ind w:firstLine="640" w:firstLineChars="200"/>
        <w:rPr>
          <w:rFonts w:eastAsia="方正楷体_GBK"/>
          <w:szCs w:val="32"/>
        </w:rPr>
      </w:pPr>
      <w:r>
        <w:rPr>
          <w:rFonts w:hint="eastAsia" w:ascii="方正楷体_GBK" w:hAnsi="方正楷体_GBK" w:eastAsia="方正楷体_GBK" w:cs="方正楷体_GBK"/>
          <w:szCs w:val="32"/>
        </w:rPr>
        <w:t>（十三）优化不动产登记服务。</w:t>
      </w:r>
      <w:bookmarkStart w:id="4" w:name="OLE_LINK3"/>
      <w:r>
        <w:rPr>
          <w:szCs w:val="32"/>
        </w:rPr>
        <w:t>对混合兼容复合利用的</w:t>
      </w:r>
      <w:r>
        <w:rPr>
          <w:rFonts w:hint="eastAsia"/>
          <w:szCs w:val="32"/>
        </w:rPr>
        <w:t>，可</w:t>
      </w:r>
      <w:r>
        <w:rPr>
          <w:szCs w:val="32"/>
        </w:rPr>
        <w:t>按不同用途、分空间层次设权</w:t>
      </w:r>
      <w:r>
        <w:rPr>
          <w:rFonts w:hint="eastAsia"/>
          <w:szCs w:val="32"/>
        </w:rPr>
        <w:t>；</w:t>
      </w:r>
      <w:r>
        <w:rPr>
          <w:szCs w:val="32"/>
        </w:rPr>
        <w:t>对可分割</w:t>
      </w:r>
      <w:r>
        <w:rPr>
          <w:rFonts w:hint="eastAsia"/>
          <w:szCs w:val="32"/>
        </w:rPr>
        <w:t>部分</w:t>
      </w:r>
      <w:r>
        <w:rPr>
          <w:szCs w:val="32"/>
        </w:rPr>
        <w:t>，经分割审批、分别设权后办理登记。</w:t>
      </w:r>
      <w:bookmarkEnd w:id="4"/>
      <w:r>
        <w:rPr>
          <w:szCs w:val="32"/>
        </w:rPr>
        <w:t>项目投资额未达25%的，</w:t>
      </w:r>
      <w:r>
        <w:rPr>
          <w:rFonts w:hint="eastAsia"/>
          <w:szCs w:val="32"/>
        </w:rPr>
        <w:t>可</w:t>
      </w:r>
      <w:r>
        <w:rPr>
          <w:szCs w:val="32"/>
        </w:rPr>
        <w:t>先行办理转让预告登记，</w:t>
      </w:r>
      <w:r>
        <w:rPr>
          <w:rFonts w:hint="eastAsia"/>
          <w:szCs w:val="32"/>
        </w:rPr>
        <w:t>待</w:t>
      </w:r>
      <w:r>
        <w:rPr>
          <w:szCs w:val="32"/>
        </w:rPr>
        <w:t>投资额达到法定条件后办理转让</w:t>
      </w:r>
      <w:r>
        <w:rPr>
          <w:rFonts w:hint="eastAsia"/>
          <w:szCs w:val="32"/>
        </w:rPr>
        <w:t>。预告登记权利人可凭不动产预告登记证明等其他必要材料向有关部门申请办理规划建设和用地手续。</w:t>
      </w:r>
      <w:r>
        <w:rPr>
          <w:szCs w:val="32"/>
        </w:rPr>
        <w:t>持续做好“带押过户”“无还本续贷”抵押登记，稳妥推进“带封过户”，降低资产盘活成本。</w:t>
      </w:r>
    </w:p>
    <w:p>
      <w:pPr>
        <w:autoSpaceDE/>
        <w:autoSpaceDN/>
        <w:adjustRightInd w:val="0"/>
        <w:spacing w:line="590" w:lineRule="exact"/>
        <w:ind w:firstLine="640" w:firstLineChars="200"/>
        <w:outlineLvl w:val="1"/>
        <w:rPr>
          <w:rFonts w:eastAsia="方正黑体_GBK"/>
          <w:szCs w:val="32"/>
        </w:rPr>
      </w:pPr>
      <w:r>
        <w:rPr>
          <w:rFonts w:hint="eastAsia" w:eastAsia="方正黑体_GBK"/>
          <w:szCs w:val="32"/>
        </w:rPr>
        <w:t>四</w:t>
      </w:r>
      <w:r>
        <w:rPr>
          <w:rFonts w:eastAsia="方正黑体_GBK"/>
          <w:szCs w:val="32"/>
        </w:rPr>
        <w:t>、</w:t>
      </w:r>
      <w:r>
        <w:rPr>
          <w:rFonts w:hint="eastAsia" w:eastAsia="方正黑体_GBK"/>
          <w:szCs w:val="32"/>
        </w:rPr>
        <w:t>拓宽融资渠道</w:t>
      </w:r>
    </w:p>
    <w:p>
      <w:pPr>
        <w:autoSpaceDE/>
        <w:autoSpaceDN/>
        <w:adjustRightInd w:val="0"/>
        <w:spacing w:line="590" w:lineRule="exact"/>
        <w:ind w:firstLine="640" w:firstLineChars="200"/>
        <w:rPr>
          <w:rFonts w:eastAsia="方正楷体_GBK"/>
          <w:szCs w:val="32"/>
        </w:rPr>
      </w:pPr>
      <w:r>
        <w:rPr>
          <w:rFonts w:hint="eastAsia" w:eastAsia="方正楷体_GBK"/>
          <w:szCs w:val="32"/>
          <w:lang w:bidi="ar"/>
        </w:rPr>
        <w:t>（十四）</w:t>
      </w:r>
      <w:r>
        <w:rPr>
          <w:rFonts w:eastAsia="方正楷体_GBK"/>
          <w:szCs w:val="32"/>
          <w:lang w:bidi="ar"/>
        </w:rPr>
        <w:t>加大财政资金支持。</w:t>
      </w:r>
      <w:r>
        <w:rPr>
          <w:rFonts w:hint="eastAsia" w:ascii="方正仿宋_GBK" w:hAnsi="方正黑体_GBK" w:cs="方正黑体_GBK"/>
          <w:szCs w:val="32"/>
        </w:rPr>
        <w:t>积极争取中央财政资金</w:t>
      </w:r>
      <w:r>
        <w:rPr>
          <w:rFonts w:hint="eastAsia" w:ascii="方正仿宋_GBK" w:hAnsi="方正黑体_GBK" w:cs="方正黑体_GBK"/>
          <w:sz w:val="31"/>
          <w:szCs w:val="31"/>
          <w:lang w:bidi="ar"/>
        </w:rPr>
        <w:t>。</w:t>
      </w:r>
      <w:r>
        <w:rPr>
          <w:rFonts w:hint="eastAsia" w:ascii="方正仿宋_GBK"/>
          <w:szCs w:val="32"/>
        </w:rPr>
        <w:t>统筹省级城建领域相关专项资金支持城市更新。创新财政资金支持方式，运用“拨改投”，放大乘数效应。发挥地方政府专项债券“自审自发”试点省份优势，支持</w:t>
      </w:r>
      <w:r>
        <w:rPr>
          <w:rFonts w:hint="eastAsia" w:ascii="方正仿宋_GBK" w:hAnsi="方正黑体_GBK" w:cs="方正黑体_GBK"/>
          <w:szCs w:val="32"/>
        </w:rPr>
        <w:t>符合条件的</w:t>
      </w:r>
      <w:r>
        <w:rPr>
          <w:rFonts w:hint="eastAsia"/>
          <w:szCs w:val="32"/>
        </w:rPr>
        <w:t>城市更新项目建设</w:t>
      </w:r>
      <w:r>
        <w:rPr>
          <w:szCs w:val="32"/>
        </w:rPr>
        <w:t>。</w:t>
      </w:r>
    </w:p>
    <w:p>
      <w:pPr>
        <w:autoSpaceDE/>
        <w:autoSpaceDN/>
        <w:adjustRightInd w:val="0"/>
        <w:spacing w:line="590" w:lineRule="exact"/>
        <w:ind w:firstLine="640" w:firstLineChars="200"/>
        <w:rPr>
          <w:rFonts w:eastAsia="方正楷体_GBK"/>
          <w:szCs w:val="32"/>
          <w:lang w:bidi="ar"/>
        </w:rPr>
      </w:pPr>
      <w:bookmarkStart w:id="5" w:name="_Hlk212662754"/>
      <w:r>
        <w:rPr>
          <w:rFonts w:hint="eastAsia" w:eastAsia="方正楷体_GBK"/>
          <w:szCs w:val="32"/>
          <w:lang w:bidi="ar"/>
        </w:rPr>
        <w:t>（十五）</w:t>
      </w:r>
      <w:r>
        <w:rPr>
          <w:rFonts w:eastAsia="方正楷体_GBK"/>
          <w:szCs w:val="32"/>
          <w:lang w:bidi="ar"/>
        </w:rPr>
        <w:t>探索可持续投融资模式。</w:t>
      </w:r>
      <w:bookmarkEnd w:id="5"/>
      <w:r>
        <w:rPr>
          <w:rFonts w:hint="eastAsia"/>
          <w:szCs w:val="32"/>
        </w:rPr>
        <w:t>支持各地探索市政基础设施等领域资产评估，制定核算规则，遴选具有稳定收益回报率的城市更新项目发行基础设施领域不动产投资信托基金（REITs）等资产证券化产品。对</w:t>
      </w:r>
      <w:r>
        <w:rPr>
          <w:rFonts w:hint="eastAsia" w:ascii="方正仿宋_GBK" w:hAnsi="黑体"/>
          <w:szCs w:val="32"/>
        </w:rPr>
        <w:t>有经营性收益、</w:t>
      </w:r>
      <w:r>
        <w:rPr>
          <w:rFonts w:hint="eastAsia" w:ascii="方正仿宋_GBK"/>
          <w:szCs w:val="32"/>
        </w:rPr>
        <w:t>收费明确</w:t>
      </w:r>
      <w:r>
        <w:rPr>
          <w:rFonts w:hint="eastAsia" w:ascii="方正仿宋_GBK" w:hAnsi="黑体"/>
          <w:szCs w:val="32"/>
        </w:rPr>
        <w:t>的</w:t>
      </w:r>
      <w:r>
        <w:rPr>
          <w:rFonts w:hint="eastAsia" w:ascii="方正仿宋_GBK"/>
          <w:szCs w:val="32"/>
        </w:rPr>
        <w:t>使用者付费</w:t>
      </w:r>
      <w:r>
        <w:rPr>
          <w:rFonts w:hint="eastAsia" w:ascii="方正仿宋_GBK" w:hAnsi="黑体"/>
          <w:szCs w:val="32"/>
        </w:rPr>
        <w:t>基础设施</w:t>
      </w:r>
      <w:r>
        <w:rPr>
          <w:rFonts w:hint="eastAsia" w:ascii="方正仿宋_GBK"/>
          <w:szCs w:val="32"/>
        </w:rPr>
        <w:t>项目，允许采取特许经营模式，</w:t>
      </w:r>
      <w:r>
        <w:rPr>
          <w:rFonts w:hint="eastAsia" w:ascii="方正仿宋_GBK" w:hAnsi="黑体"/>
          <w:szCs w:val="32"/>
        </w:rPr>
        <w:t>鼓励社会资本投资</w:t>
      </w:r>
      <w:r>
        <w:rPr>
          <w:rFonts w:hint="eastAsia" w:ascii="方正仿宋_GBK"/>
          <w:szCs w:val="32"/>
        </w:rPr>
        <w:t>。建立城市更新项目库，</w:t>
      </w:r>
      <w:r>
        <w:rPr>
          <w:rFonts w:hint="eastAsia" w:ascii="方正仿宋_GBK" w:hAnsi="方正黑体_GBK" w:cs="方正黑体_GBK"/>
          <w:szCs w:val="32"/>
        </w:rPr>
        <w:t>各地依托项目库做好政策资金支持储备</w:t>
      </w:r>
      <w:r>
        <w:rPr>
          <w:rFonts w:hint="eastAsia" w:ascii="方正仿宋_GBK"/>
          <w:szCs w:val="32"/>
        </w:rPr>
        <w:t>，</w:t>
      </w:r>
      <w:r>
        <w:rPr>
          <w:rFonts w:hint="eastAsia"/>
          <w:szCs w:val="32"/>
        </w:rPr>
        <w:t>支持金融机构为项目开发建设、运营管理、交易结算、保险保障等提供多元化金融产品和服务，用好新型政策性金融工具补充城市更新项目资本金</w:t>
      </w:r>
      <w:r>
        <w:rPr>
          <w:rFonts w:hint="eastAsia" w:ascii="方正黑体_GBK" w:hAnsi="方正黑体_GBK" w:eastAsia="方正黑体_GBK" w:cs="方正黑体_GBK"/>
          <w:szCs w:val="32"/>
        </w:rPr>
        <w:t>。</w:t>
      </w:r>
    </w:p>
    <w:p>
      <w:pPr>
        <w:autoSpaceDE/>
        <w:autoSpaceDN/>
        <w:adjustRightInd w:val="0"/>
        <w:spacing w:line="590" w:lineRule="exact"/>
        <w:ind w:firstLine="640" w:firstLineChars="200"/>
        <w:outlineLvl w:val="1"/>
        <w:rPr>
          <w:rFonts w:eastAsia="方正黑体_GBK"/>
          <w:szCs w:val="32"/>
        </w:rPr>
      </w:pPr>
      <w:r>
        <w:rPr>
          <w:rFonts w:hint="eastAsia" w:eastAsia="方正黑体_GBK"/>
          <w:szCs w:val="32"/>
        </w:rPr>
        <w:t>五</w:t>
      </w:r>
      <w:r>
        <w:rPr>
          <w:rFonts w:eastAsia="方正黑体_GBK"/>
          <w:szCs w:val="32"/>
        </w:rPr>
        <w:t>、落实税费政策</w:t>
      </w:r>
    </w:p>
    <w:p>
      <w:pPr>
        <w:autoSpaceDE/>
        <w:autoSpaceDN/>
        <w:adjustRightInd w:val="0"/>
        <w:spacing w:line="590" w:lineRule="exact"/>
        <w:ind w:firstLine="640" w:firstLineChars="200"/>
        <w:rPr>
          <w:rFonts w:eastAsia="方正楷体_GBK"/>
          <w:szCs w:val="32"/>
          <w:lang w:bidi="ar"/>
        </w:rPr>
      </w:pPr>
      <w:r>
        <w:rPr>
          <w:rFonts w:hint="eastAsia" w:eastAsia="方正楷体_GBK"/>
          <w:szCs w:val="32"/>
          <w:lang w:bidi="ar"/>
        </w:rPr>
        <w:t>（十六）积极落实</w:t>
      </w:r>
      <w:r>
        <w:rPr>
          <w:rFonts w:eastAsia="方正楷体_GBK"/>
          <w:szCs w:val="32"/>
          <w:lang w:bidi="ar"/>
        </w:rPr>
        <w:t>税费政策优惠。</w:t>
      </w:r>
      <w:r>
        <w:rPr>
          <w:rFonts w:hint="eastAsia"/>
          <w:szCs w:val="32"/>
          <w:lang w:bidi="ar"/>
        </w:rPr>
        <w:t>对在城市更新项目中提供公益性设施、促进产业转型升级的，</w:t>
      </w:r>
      <w:r>
        <w:rPr>
          <w:rFonts w:hint="eastAsia" w:ascii="方正仿宋_GBK"/>
          <w:szCs w:val="32"/>
          <w:lang w:bidi="ar"/>
        </w:rPr>
        <w:t>符合税收优惠条件的，减免土地增值税。对符合条件的城中村改造项目，适用现行棚户区改造有关税费支持政策，可免征改造安置住房相关的城镇土地使用税、单位和个人印花税，</w:t>
      </w:r>
      <w:r>
        <w:rPr>
          <w:rFonts w:hint="eastAsia" w:ascii="方正仿宋_GBK" w:hAnsi="方正黑体_GBK" w:cs="方正黑体_GBK"/>
          <w:szCs w:val="32"/>
          <w:lang w:bidi="ar"/>
        </w:rPr>
        <w:t>可免征城市基础设施配套费等行政事业性收费和政府性基金，</w:t>
      </w:r>
      <w:r>
        <w:rPr>
          <w:szCs w:val="32"/>
          <w:lang w:bidi="ar"/>
        </w:rPr>
        <w:t>企事业单位、社会团体以及其他组织转让旧房作为改造安置住房房源且增值额未超过扣除项目金额20%的，免征土地增值税。</w:t>
      </w:r>
    </w:p>
    <w:p>
      <w:pPr>
        <w:autoSpaceDE/>
        <w:autoSpaceDN/>
        <w:adjustRightInd w:val="0"/>
        <w:spacing w:line="590" w:lineRule="exact"/>
        <w:ind w:firstLine="640" w:firstLineChars="200"/>
        <w:rPr>
          <w:rFonts w:eastAsia="方正楷体_GBK"/>
          <w:szCs w:val="32"/>
          <w:lang w:bidi="ar"/>
        </w:rPr>
      </w:pPr>
      <w:r>
        <w:rPr>
          <w:rFonts w:hint="eastAsia" w:eastAsia="方正楷体_GBK"/>
          <w:szCs w:val="32"/>
          <w:lang w:bidi="ar"/>
        </w:rPr>
        <w:t>（十七）</w:t>
      </w:r>
      <w:r>
        <w:rPr>
          <w:rFonts w:hint="eastAsia" w:ascii="方正楷体_GBK" w:eastAsia="方正楷体_GBK"/>
          <w:szCs w:val="32"/>
        </w:rPr>
        <w:t>落实古建老宅改造更新税费支持</w:t>
      </w:r>
      <w:r>
        <w:rPr>
          <w:rFonts w:hint="eastAsia" w:eastAsia="方正楷体_GBK"/>
          <w:szCs w:val="32"/>
          <w:lang w:bidi="ar"/>
        </w:rPr>
        <w:t>。</w:t>
      </w:r>
      <w:r>
        <w:rPr>
          <w:szCs w:val="32"/>
          <w:lang w:bidi="ar"/>
        </w:rPr>
        <w:t>改造后再转让的，凡不能取得评估价格</w:t>
      </w:r>
      <w:r>
        <w:rPr>
          <w:rFonts w:hint="eastAsia"/>
          <w:szCs w:val="32"/>
          <w:lang w:bidi="ar"/>
        </w:rPr>
        <w:t>、</w:t>
      </w:r>
      <w:r>
        <w:rPr>
          <w:szCs w:val="32"/>
          <w:lang w:bidi="ar"/>
        </w:rPr>
        <w:t>但能</w:t>
      </w:r>
      <w:r>
        <w:rPr>
          <w:szCs w:val="32"/>
        </w:rPr>
        <w:t>提供购房发票的，经当地税务部门确认，</w:t>
      </w:r>
      <w:r>
        <w:rPr>
          <w:szCs w:val="32"/>
          <w:lang w:bidi="ar"/>
        </w:rPr>
        <w:t>计算</w:t>
      </w:r>
      <w:r>
        <w:rPr>
          <w:szCs w:val="32"/>
        </w:rPr>
        <w:t>土地增值税时可按发票所载金额从购买年度起至转让年度止每年加计5%计算扣除。</w:t>
      </w:r>
    </w:p>
    <w:p>
      <w:pPr>
        <w:autoSpaceDE/>
        <w:autoSpaceDN/>
        <w:adjustRightInd w:val="0"/>
        <w:spacing w:line="590" w:lineRule="exact"/>
        <w:ind w:firstLine="640" w:firstLineChars="200"/>
        <w:outlineLvl w:val="1"/>
        <w:rPr>
          <w:rFonts w:eastAsia="方正黑体_GBK"/>
          <w:szCs w:val="32"/>
        </w:rPr>
      </w:pPr>
      <w:r>
        <w:rPr>
          <w:rFonts w:hint="eastAsia" w:eastAsia="方正黑体_GBK"/>
          <w:szCs w:val="32"/>
        </w:rPr>
        <w:t>六</w:t>
      </w:r>
      <w:r>
        <w:rPr>
          <w:rFonts w:eastAsia="方正黑体_GBK"/>
          <w:szCs w:val="32"/>
        </w:rPr>
        <w:t>、支持多元参与</w:t>
      </w:r>
    </w:p>
    <w:p>
      <w:pPr>
        <w:autoSpaceDE/>
        <w:autoSpaceDN/>
        <w:adjustRightInd w:val="0"/>
        <w:spacing w:line="590" w:lineRule="exact"/>
        <w:ind w:firstLine="640" w:firstLineChars="200"/>
        <w:rPr>
          <w:rFonts w:eastAsia="方正楷体_GBK"/>
          <w:szCs w:val="32"/>
          <w:lang w:bidi="ar"/>
        </w:rPr>
      </w:pPr>
      <w:r>
        <w:rPr>
          <w:rFonts w:hint="eastAsia" w:eastAsia="方正楷体_GBK"/>
          <w:szCs w:val="32"/>
          <w:lang w:bidi="ar"/>
        </w:rPr>
        <w:t>（十八）</w:t>
      </w:r>
      <w:r>
        <w:rPr>
          <w:rFonts w:eastAsia="方正楷体_GBK"/>
          <w:szCs w:val="32"/>
          <w:lang w:bidi="ar"/>
        </w:rPr>
        <w:t>探索</w:t>
      </w:r>
      <w:r>
        <w:rPr>
          <w:rFonts w:hint="eastAsia" w:eastAsia="方正楷体_GBK"/>
          <w:szCs w:val="32"/>
          <w:lang w:bidi="ar"/>
        </w:rPr>
        <w:t>老旧住房</w:t>
      </w:r>
      <w:r>
        <w:rPr>
          <w:rFonts w:eastAsia="方正楷体_GBK"/>
          <w:szCs w:val="32"/>
          <w:lang w:bidi="ar"/>
        </w:rPr>
        <w:t>自主更新。</w:t>
      </w:r>
      <w:r>
        <w:rPr>
          <w:szCs w:val="32"/>
        </w:rPr>
        <w:t>支持地方</w:t>
      </w:r>
      <w:r>
        <w:rPr>
          <w:rFonts w:hint="eastAsia"/>
          <w:szCs w:val="32"/>
        </w:rPr>
        <w:t>探索</w:t>
      </w:r>
      <w:r>
        <w:rPr>
          <w:szCs w:val="32"/>
        </w:rPr>
        <w:t>建立</w:t>
      </w:r>
      <w:r>
        <w:rPr>
          <w:rFonts w:hint="eastAsia"/>
          <w:szCs w:val="32"/>
        </w:rPr>
        <w:t>“</w:t>
      </w:r>
      <w:r>
        <w:rPr>
          <w:szCs w:val="32"/>
        </w:rPr>
        <w:t>申请制</w:t>
      </w:r>
      <w:r>
        <w:rPr>
          <w:rFonts w:hint="eastAsia"/>
          <w:szCs w:val="32"/>
        </w:rPr>
        <w:t>”老旧住房</w:t>
      </w:r>
      <w:r>
        <w:rPr>
          <w:szCs w:val="32"/>
        </w:rPr>
        <w:t>自主更新实施机制，完善流程细则。各地</w:t>
      </w:r>
      <w:r>
        <w:rPr>
          <w:rFonts w:hint="eastAsia"/>
          <w:szCs w:val="32"/>
        </w:rPr>
        <w:t>可运用提高容积率、增配公共服务设施</w:t>
      </w:r>
      <w:r>
        <w:rPr>
          <w:szCs w:val="32"/>
        </w:rPr>
        <w:t>、</w:t>
      </w:r>
      <w:r>
        <w:rPr>
          <w:rFonts w:hint="eastAsia" w:ascii="方正仿宋_GBK" w:hAnsi="方正黑体_GBK" w:cs="方正黑体_GBK"/>
          <w:szCs w:val="32"/>
        </w:rPr>
        <w:t>允许缴存人家庭提取住房公积金并提高</w:t>
      </w:r>
      <w:r>
        <w:rPr>
          <w:rFonts w:hint="eastAsia"/>
          <w:szCs w:val="32"/>
        </w:rPr>
        <w:t>贷款额度</w:t>
      </w:r>
      <w:r>
        <w:rPr>
          <w:szCs w:val="32"/>
        </w:rPr>
        <w:t>、提供财政补贴等</w:t>
      </w:r>
      <w:r>
        <w:rPr>
          <w:rFonts w:hint="eastAsia"/>
          <w:szCs w:val="32"/>
        </w:rPr>
        <w:t>方式支持自主更新</w:t>
      </w:r>
      <w:r>
        <w:rPr>
          <w:szCs w:val="32"/>
        </w:rPr>
        <w:t>。</w:t>
      </w:r>
    </w:p>
    <w:p>
      <w:pPr>
        <w:autoSpaceDE/>
        <w:autoSpaceDN/>
        <w:adjustRightInd w:val="0"/>
        <w:spacing w:line="590" w:lineRule="exact"/>
        <w:ind w:firstLine="640" w:firstLineChars="200"/>
        <w:rPr>
          <w:rFonts w:eastAsia="方正楷体_GBK"/>
          <w:szCs w:val="32"/>
          <w:lang w:val="zh-CN"/>
        </w:rPr>
      </w:pPr>
      <w:r>
        <w:rPr>
          <w:rFonts w:hint="eastAsia" w:eastAsia="方正楷体_GBK"/>
          <w:szCs w:val="32"/>
          <w:lang w:bidi="ar"/>
        </w:rPr>
        <w:t>（十九）</w:t>
      </w:r>
      <w:r>
        <w:rPr>
          <w:rFonts w:eastAsia="方正楷体_GBK"/>
          <w:szCs w:val="32"/>
          <w:lang w:bidi="ar"/>
        </w:rPr>
        <w:t>支持市场主体参与更新。</w:t>
      </w:r>
      <w:r>
        <w:rPr>
          <w:rFonts w:hint="eastAsia"/>
          <w:szCs w:val="32"/>
        </w:rPr>
        <w:t>支持各地综合运用规划、土地、财政等政策，引导市场主体以收购产权、联合参与等方式实施更新</w:t>
      </w:r>
      <w:r>
        <w:rPr>
          <w:szCs w:val="32"/>
        </w:rPr>
        <w:t>。</w:t>
      </w:r>
      <w:r>
        <w:rPr>
          <w:rFonts w:hint="eastAsia"/>
          <w:szCs w:val="32"/>
        </w:rPr>
        <w:t>鼓励各地搭建城市更新项目推介平台，采用综合评</w:t>
      </w:r>
      <w:r>
        <w:rPr>
          <w:rFonts w:hint="eastAsia" w:ascii="方正仿宋_GBK"/>
          <w:szCs w:val="32"/>
        </w:rPr>
        <w:t>估</w:t>
      </w:r>
      <w:r>
        <w:rPr>
          <w:rFonts w:hint="eastAsia"/>
          <w:szCs w:val="32"/>
        </w:rPr>
        <w:t>、评定分离等方法，引入更多市场主体参与更新。</w:t>
      </w:r>
    </w:p>
    <w:p>
      <w:pPr>
        <w:autoSpaceDE/>
        <w:autoSpaceDN/>
        <w:adjustRightInd w:val="0"/>
        <w:spacing w:line="590" w:lineRule="exact"/>
        <w:ind w:firstLine="640" w:firstLineChars="200"/>
        <w:outlineLvl w:val="1"/>
        <w:rPr>
          <w:rFonts w:eastAsia="方正黑体_GBK"/>
          <w:szCs w:val="32"/>
        </w:rPr>
      </w:pPr>
      <w:r>
        <w:rPr>
          <w:rFonts w:hint="eastAsia" w:eastAsia="方正黑体_GBK"/>
          <w:szCs w:val="32"/>
        </w:rPr>
        <w:t>七</w:t>
      </w:r>
      <w:r>
        <w:rPr>
          <w:rFonts w:eastAsia="方正黑体_GBK"/>
          <w:szCs w:val="32"/>
        </w:rPr>
        <w:t>、优化审批流程</w:t>
      </w:r>
    </w:p>
    <w:p>
      <w:pPr>
        <w:autoSpaceDE/>
        <w:autoSpaceDN/>
        <w:adjustRightInd w:val="0"/>
        <w:spacing w:line="590" w:lineRule="exact"/>
        <w:ind w:firstLine="640" w:firstLineChars="200"/>
        <w:rPr>
          <w:rFonts w:eastAsia="方正楷体_GBK"/>
          <w:szCs w:val="32"/>
          <w:lang w:val="zh-CN"/>
        </w:rPr>
      </w:pPr>
      <w:r>
        <w:rPr>
          <w:rFonts w:hint="eastAsia" w:eastAsia="方正楷体_GBK"/>
          <w:szCs w:val="32"/>
          <w:lang w:bidi="ar"/>
        </w:rPr>
        <w:t>（二十）简化</w:t>
      </w:r>
      <w:r>
        <w:rPr>
          <w:rFonts w:eastAsia="方正楷体_GBK"/>
          <w:szCs w:val="32"/>
          <w:lang w:bidi="ar"/>
        </w:rPr>
        <w:t>城市更新项目审批流程。</w:t>
      </w:r>
      <w:r>
        <w:rPr>
          <w:rFonts w:hint="eastAsia"/>
          <w:szCs w:val="32"/>
          <w:lang w:val="zh-CN"/>
        </w:rPr>
        <w:t>实行建设工程规划许可豁免制度，省级层面制定豁免建议清单。不涉及用地的管线类项目，可简化规划许可报</w:t>
      </w:r>
      <w:r>
        <w:rPr>
          <w:rFonts w:hint="eastAsia" w:ascii="方正仿宋_GBK"/>
          <w:lang w:val="zh-CN" w:bidi="ar"/>
        </w:rPr>
        <w:t>审材料。建立城市更新项目施工图审查分类管理机制，探索</w:t>
      </w:r>
      <w:r>
        <w:rPr>
          <w:rFonts w:hint="eastAsia" w:ascii="方正仿宋_GBK"/>
          <w:lang w:bidi="ar"/>
        </w:rPr>
        <w:t>实施</w:t>
      </w:r>
      <w:r>
        <w:rPr>
          <w:rFonts w:hint="eastAsia" w:ascii="方正仿宋_GBK"/>
          <w:lang w:val="zh-CN" w:bidi="ar"/>
        </w:rPr>
        <w:t>自审承诺制，</w:t>
      </w:r>
      <w:r>
        <w:rPr>
          <w:rFonts w:hint="eastAsia" w:ascii="方正仿宋_GBK"/>
          <w:lang w:bidi="ar"/>
        </w:rPr>
        <w:t>推动施工许可与消防设计审查合并办理。探</w:t>
      </w:r>
      <w:r>
        <w:rPr>
          <w:rFonts w:hint="eastAsia" w:ascii="方正仿宋_GBK"/>
          <w:szCs w:val="32"/>
          <w:lang w:bidi="ar"/>
        </w:rPr>
        <w:t>索建立</w:t>
      </w:r>
      <w:r>
        <w:rPr>
          <w:rFonts w:hint="eastAsia" w:ascii="方正仿宋_GBK"/>
          <w:lang w:bidi="ar"/>
        </w:rPr>
        <w:t>与简易低风险、微更新相适应的</w:t>
      </w:r>
      <w:r>
        <w:rPr>
          <w:szCs w:val="32"/>
          <w:lang w:bidi="ar"/>
        </w:rPr>
        <w:t>施工许可豁免制度。</w:t>
      </w:r>
      <w:r>
        <w:rPr>
          <w:rFonts w:hint="eastAsia" w:ascii="方正仿宋_GBK" w:hAnsi="方正黑体_GBK" w:cs="方正黑体_GBK"/>
          <w:szCs w:val="32"/>
          <w:lang w:bidi="ar"/>
        </w:rPr>
        <w:t>更新项目实施主体取得土地使用权人出具的同意使用土地证明文件，可用于申请办理建设审批手续</w:t>
      </w:r>
      <w:r>
        <w:rPr>
          <w:rFonts w:hint="eastAsia" w:ascii="方正黑体_GBK" w:hAnsi="方正黑体_GBK" w:eastAsia="方正黑体_GBK" w:cs="方正黑体_GBK"/>
          <w:szCs w:val="32"/>
          <w:lang w:bidi="ar"/>
        </w:rPr>
        <w:t>。</w:t>
      </w:r>
    </w:p>
    <w:p>
      <w:pPr>
        <w:autoSpaceDE/>
        <w:autoSpaceDN/>
        <w:adjustRightInd w:val="0"/>
        <w:spacing w:line="590" w:lineRule="exact"/>
        <w:ind w:firstLine="640" w:firstLineChars="200"/>
        <w:rPr>
          <w:rFonts w:eastAsia="方正楷体_GBK"/>
          <w:sz w:val="31"/>
          <w:szCs w:val="31"/>
          <w:lang w:bidi="ar"/>
        </w:rPr>
      </w:pPr>
      <w:r>
        <w:rPr>
          <w:rFonts w:hint="eastAsia" w:eastAsia="方正楷体_GBK"/>
          <w:szCs w:val="32"/>
          <w:lang w:bidi="ar"/>
        </w:rPr>
        <w:t>（二十一）</w:t>
      </w:r>
      <w:r>
        <w:rPr>
          <w:rFonts w:eastAsia="方正楷体_GBK"/>
          <w:szCs w:val="32"/>
          <w:lang w:bidi="ar"/>
        </w:rPr>
        <w:t>建立既有建筑改造审批衔接机制。</w:t>
      </w:r>
      <w:r>
        <w:rPr>
          <w:rFonts w:hint="eastAsia"/>
          <w:lang w:bidi="ar"/>
        </w:rPr>
        <w:t>既有建筑原竣工验收备案证明，可作为办理审批审查手续的房屋合法性证明材料</w:t>
      </w:r>
      <w:r>
        <w:rPr>
          <w:lang w:bidi="ar"/>
        </w:rPr>
        <w:t>。</w:t>
      </w:r>
      <w:r>
        <w:rPr>
          <w:rFonts w:hint="eastAsia"/>
          <w:lang w:bidi="ar"/>
        </w:rPr>
        <w:t>涉及功能改变或</w:t>
      </w:r>
      <w:r>
        <w:rPr>
          <w:rFonts w:hint="eastAsia" w:ascii="方正仿宋_GBK"/>
          <w:lang w:bidi="ar"/>
        </w:rPr>
        <w:t>符合规划许可豁免办理规定或纳入正面清单</w:t>
      </w:r>
      <w:bookmarkStart w:id="6" w:name="_GoBack"/>
      <w:bookmarkEnd w:id="6"/>
      <w:r>
        <w:rPr>
          <w:rFonts w:hint="eastAsia" w:ascii="方正仿宋_GBK"/>
          <w:lang w:bidi="ar"/>
        </w:rPr>
        <w:t>无需办理规划许可的改造项目，可依据经批准的项目实施方案</w:t>
      </w:r>
      <w:r>
        <w:rPr>
          <w:rFonts w:hint="eastAsia"/>
          <w:lang w:bidi="ar"/>
        </w:rPr>
        <w:t>直接办理施工图审查、施工许可、消防审验等手续。</w:t>
      </w:r>
      <w:r>
        <w:rPr>
          <w:rFonts w:hint="eastAsia"/>
          <w:szCs w:val="32"/>
          <w:lang w:val="zh-CN"/>
        </w:rPr>
        <w:t>加强建设工程消防审验与消防监督管理衔接，细化信息共享、审批协同、执法协作、工作会商机制</w:t>
      </w:r>
      <w:r>
        <w:rPr>
          <w:szCs w:val="32"/>
          <w:lang w:val="zh-CN"/>
        </w:rPr>
        <w:t>。</w:t>
      </w:r>
    </w:p>
    <w:p>
      <w:pPr>
        <w:autoSpaceDE/>
        <w:autoSpaceDN/>
        <w:adjustRightInd w:val="0"/>
        <w:spacing w:line="590" w:lineRule="exact"/>
        <w:ind w:firstLine="640" w:firstLineChars="200"/>
        <w:rPr>
          <w:rFonts w:eastAsia="方正楷体_GBK"/>
          <w:sz w:val="31"/>
          <w:szCs w:val="31"/>
          <w:lang w:bidi="ar"/>
        </w:rPr>
      </w:pPr>
      <w:r>
        <w:rPr>
          <w:rFonts w:hint="eastAsia" w:eastAsia="方正楷体_GBK"/>
          <w:szCs w:val="32"/>
          <w:lang w:bidi="ar"/>
        </w:rPr>
        <w:t>（二十二）</w:t>
      </w:r>
      <w:r>
        <w:rPr>
          <w:rFonts w:eastAsia="方正楷体_GBK"/>
          <w:szCs w:val="32"/>
          <w:lang w:bidi="ar"/>
        </w:rPr>
        <w:t>优化老旧厂</w:t>
      </w:r>
      <w:r>
        <w:rPr>
          <w:rFonts w:hint="eastAsia" w:ascii="方正楷体_GBK" w:eastAsia="方正楷体_GBK"/>
          <w:szCs w:val="32"/>
          <w:lang w:val="zh-CN"/>
        </w:rPr>
        <w:t>房</w:t>
      </w:r>
      <w:r>
        <w:rPr>
          <w:rFonts w:eastAsia="方正楷体_GBK"/>
          <w:szCs w:val="32"/>
          <w:lang w:bidi="ar"/>
        </w:rPr>
        <w:t>更新消防审验。</w:t>
      </w:r>
      <w:r>
        <w:rPr>
          <w:rFonts w:hint="eastAsia"/>
          <w:szCs w:val="32"/>
          <w:lang w:val="zh-CN"/>
        </w:rPr>
        <w:t>不需要取得施工许可的老旧厂</w:t>
      </w:r>
      <w:r>
        <w:rPr>
          <w:rFonts w:hint="eastAsia" w:ascii="方正仿宋_GBK"/>
          <w:szCs w:val="32"/>
          <w:lang w:val="zh-CN"/>
        </w:rPr>
        <w:t>房更新</w:t>
      </w:r>
      <w:r>
        <w:rPr>
          <w:rFonts w:hint="eastAsia"/>
          <w:szCs w:val="32"/>
          <w:lang w:val="zh-CN"/>
        </w:rPr>
        <w:t>项目，在办理消防验收或消防验收备案时，可提交消防查验报告替代竣工验收报告。</w:t>
      </w:r>
    </w:p>
    <w:p>
      <w:pPr>
        <w:autoSpaceDE/>
        <w:autoSpaceDN/>
        <w:adjustRightInd w:val="0"/>
        <w:spacing w:line="590" w:lineRule="exact"/>
        <w:ind w:firstLine="640" w:firstLineChars="200"/>
        <w:rPr>
          <w:rFonts w:ascii="黑体" w:hAnsi="黑体" w:eastAsia="黑体" w:cs="黑体"/>
          <w:szCs w:val="32"/>
        </w:rPr>
      </w:pPr>
      <w:r>
        <w:rPr>
          <w:rFonts w:hint="eastAsia"/>
          <w:szCs w:val="32"/>
          <w:lang w:bidi="ar"/>
        </w:rPr>
        <w:t>本政策措施自2026年**月**日施行，有效期至2031年**月**日。</w:t>
      </w:r>
    </w:p>
    <w:sectPr>
      <w:footerReference r:id="rId5" w:type="default"/>
      <w:footerReference r:id="rId6" w:type="even"/>
      <w:pgSz w:w="11906" w:h="16838"/>
      <w:pgMar w:top="2098" w:right="1474" w:bottom="1984" w:left="1587" w:header="851" w:footer="1474"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Calibri">
    <w:panose1 w:val="020F0502020204030204"/>
    <w:charset w:val="00"/>
    <w:family w:val="swiss"/>
    <w:pitch w:val="default"/>
    <w:sig w:usb0="E4002EFF" w:usb1="C200247B" w:usb2="00000009" w:usb3="00000000" w:csb0="200001FF" w:csb1="00000000"/>
  </w:font>
  <w:font w:name="汉鼎简大宋">
    <w:altName w:val="宋体"/>
    <w:panose1 w:val="00000000000000000000"/>
    <w:charset w:val="00"/>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320" w:leftChars="100"/>
      <w:jc w:val="right"/>
    </w:pPr>
    <w:r>
      <w:rPr>
        <w:rFonts w:hint="eastAsia"/>
      </w:rPr>
      <w:t xml:space="preserve">— </w:t>
    </w:r>
    <w:r>
      <w:fldChar w:fldCharType="begin"/>
    </w:r>
    <w:r>
      <w:instrText xml:space="preserve"> PAGE </w:instrText>
    </w:r>
    <w:r>
      <w:fldChar w:fldCharType="separate"/>
    </w:r>
    <w:r>
      <w:t>7</w:t>
    </w:r>
    <w:r>
      <w:fldChar w:fldCharType="end"/>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320" w:leftChars="100"/>
      <w:jc w:val="both"/>
    </w:pPr>
    <w:r>
      <w:rPr>
        <w:rFonts w:hint="eastAsia"/>
      </w:rPr>
      <w:t xml:space="preserve">— </w:t>
    </w:r>
    <w:r>
      <w:fldChar w:fldCharType="begin"/>
    </w:r>
    <w:r>
      <w:instrText xml:space="preserve"> PAGE </w:instrText>
    </w:r>
    <w:r>
      <w:fldChar w:fldCharType="separate"/>
    </w:r>
    <w:r>
      <w:t>8</w:t>
    </w:r>
    <w:r>
      <w:fldChar w:fldCharType="end"/>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kMjgxYTVmYWQxMGRkOWI1OWJmODE4NDczOGMxMDQifQ=="/>
  </w:docVars>
  <w:rsids>
    <w:rsidRoot w:val="320707D0"/>
    <w:rsid w:val="00057D14"/>
    <w:rsid w:val="0007777C"/>
    <w:rsid w:val="00092F1F"/>
    <w:rsid w:val="000B0260"/>
    <w:rsid w:val="00112CE7"/>
    <w:rsid w:val="001179AE"/>
    <w:rsid w:val="001B23DC"/>
    <w:rsid w:val="001E0AE8"/>
    <w:rsid w:val="001F614D"/>
    <w:rsid w:val="002814CE"/>
    <w:rsid w:val="00295943"/>
    <w:rsid w:val="002A6871"/>
    <w:rsid w:val="002C5354"/>
    <w:rsid w:val="00333EA6"/>
    <w:rsid w:val="00340965"/>
    <w:rsid w:val="00490A0A"/>
    <w:rsid w:val="004B33D6"/>
    <w:rsid w:val="004E2418"/>
    <w:rsid w:val="00593EC3"/>
    <w:rsid w:val="00615787"/>
    <w:rsid w:val="00706412"/>
    <w:rsid w:val="0073514A"/>
    <w:rsid w:val="0075034A"/>
    <w:rsid w:val="007B5448"/>
    <w:rsid w:val="007C794F"/>
    <w:rsid w:val="007E6EA0"/>
    <w:rsid w:val="007F3A5A"/>
    <w:rsid w:val="00806460"/>
    <w:rsid w:val="00826A5F"/>
    <w:rsid w:val="0096040F"/>
    <w:rsid w:val="00A34432"/>
    <w:rsid w:val="00A408CD"/>
    <w:rsid w:val="00A644F0"/>
    <w:rsid w:val="00AF2E52"/>
    <w:rsid w:val="00B32F9F"/>
    <w:rsid w:val="00B9541D"/>
    <w:rsid w:val="00BD7703"/>
    <w:rsid w:val="00C13ED6"/>
    <w:rsid w:val="00C23CDE"/>
    <w:rsid w:val="00D851D3"/>
    <w:rsid w:val="00E838B7"/>
    <w:rsid w:val="00EF28F4"/>
    <w:rsid w:val="00F66900"/>
    <w:rsid w:val="00F74C3B"/>
    <w:rsid w:val="00F87085"/>
    <w:rsid w:val="00FE7280"/>
    <w:rsid w:val="02F67E36"/>
    <w:rsid w:val="04762451"/>
    <w:rsid w:val="05D41A8E"/>
    <w:rsid w:val="05FA7145"/>
    <w:rsid w:val="06FC76C2"/>
    <w:rsid w:val="089D7C92"/>
    <w:rsid w:val="08C276F9"/>
    <w:rsid w:val="092E4D8E"/>
    <w:rsid w:val="0AA04BFE"/>
    <w:rsid w:val="0B106CF7"/>
    <w:rsid w:val="0B2428ED"/>
    <w:rsid w:val="0C57284E"/>
    <w:rsid w:val="0CC779D3"/>
    <w:rsid w:val="0E1A3BB3"/>
    <w:rsid w:val="0F097FD7"/>
    <w:rsid w:val="117179C5"/>
    <w:rsid w:val="12DE296E"/>
    <w:rsid w:val="12DF4DBF"/>
    <w:rsid w:val="159B43D0"/>
    <w:rsid w:val="17046C82"/>
    <w:rsid w:val="17D81467"/>
    <w:rsid w:val="18062B89"/>
    <w:rsid w:val="183879D7"/>
    <w:rsid w:val="18B1525F"/>
    <w:rsid w:val="198804EA"/>
    <w:rsid w:val="19DB42BF"/>
    <w:rsid w:val="1A2201AA"/>
    <w:rsid w:val="1B19589E"/>
    <w:rsid w:val="1BA41764"/>
    <w:rsid w:val="1BE125A5"/>
    <w:rsid w:val="20796DDF"/>
    <w:rsid w:val="20CF69FF"/>
    <w:rsid w:val="216D06F2"/>
    <w:rsid w:val="22895AFA"/>
    <w:rsid w:val="2383244E"/>
    <w:rsid w:val="27F31225"/>
    <w:rsid w:val="28407873"/>
    <w:rsid w:val="28425D08"/>
    <w:rsid w:val="296E7DBD"/>
    <w:rsid w:val="2A506DEA"/>
    <w:rsid w:val="2B07464F"/>
    <w:rsid w:val="2C972542"/>
    <w:rsid w:val="2D9318EA"/>
    <w:rsid w:val="2DBE68CC"/>
    <w:rsid w:val="2E870919"/>
    <w:rsid w:val="2EE23DA1"/>
    <w:rsid w:val="2FE76FAF"/>
    <w:rsid w:val="3185060A"/>
    <w:rsid w:val="320707D0"/>
    <w:rsid w:val="321C0D32"/>
    <w:rsid w:val="332E4F5C"/>
    <w:rsid w:val="33A92513"/>
    <w:rsid w:val="34D8378E"/>
    <w:rsid w:val="37726E39"/>
    <w:rsid w:val="378A005D"/>
    <w:rsid w:val="3821593A"/>
    <w:rsid w:val="386106E0"/>
    <w:rsid w:val="387D2F3E"/>
    <w:rsid w:val="38803E2E"/>
    <w:rsid w:val="392A16D8"/>
    <w:rsid w:val="3935253D"/>
    <w:rsid w:val="3BAF0B4F"/>
    <w:rsid w:val="3C255EA1"/>
    <w:rsid w:val="3C5F178E"/>
    <w:rsid w:val="3E1A70B4"/>
    <w:rsid w:val="3E7C4616"/>
    <w:rsid w:val="3EC00446"/>
    <w:rsid w:val="3EF150B2"/>
    <w:rsid w:val="3F3565E7"/>
    <w:rsid w:val="3F8E15BB"/>
    <w:rsid w:val="403A7797"/>
    <w:rsid w:val="40F91519"/>
    <w:rsid w:val="41FE4420"/>
    <w:rsid w:val="42187DAE"/>
    <w:rsid w:val="425B7C9B"/>
    <w:rsid w:val="43CF1311"/>
    <w:rsid w:val="44884509"/>
    <w:rsid w:val="45E36925"/>
    <w:rsid w:val="46BC33FE"/>
    <w:rsid w:val="47C47EC9"/>
    <w:rsid w:val="492D27BD"/>
    <w:rsid w:val="4A99106D"/>
    <w:rsid w:val="4ADF76BB"/>
    <w:rsid w:val="4B4D5699"/>
    <w:rsid w:val="4BA754D9"/>
    <w:rsid w:val="4C7402D7"/>
    <w:rsid w:val="4C8E75EA"/>
    <w:rsid w:val="4DAB41CC"/>
    <w:rsid w:val="4E9B4D72"/>
    <w:rsid w:val="4F644633"/>
    <w:rsid w:val="4F703D1B"/>
    <w:rsid w:val="502142D2"/>
    <w:rsid w:val="5164690A"/>
    <w:rsid w:val="527915E6"/>
    <w:rsid w:val="5365024B"/>
    <w:rsid w:val="55A87CCB"/>
    <w:rsid w:val="568106DC"/>
    <w:rsid w:val="56AC1EA3"/>
    <w:rsid w:val="57FA1D13"/>
    <w:rsid w:val="58863469"/>
    <w:rsid w:val="58936391"/>
    <w:rsid w:val="590E31C8"/>
    <w:rsid w:val="5A1037AC"/>
    <w:rsid w:val="5B6B49DA"/>
    <w:rsid w:val="5C31416A"/>
    <w:rsid w:val="5DED24AC"/>
    <w:rsid w:val="5E2A14F5"/>
    <w:rsid w:val="5F8C35DA"/>
    <w:rsid w:val="63C81B5F"/>
    <w:rsid w:val="6588095B"/>
    <w:rsid w:val="65AD68DC"/>
    <w:rsid w:val="683B64A5"/>
    <w:rsid w:val="69541515"/>
    <w:rsid w:val="6B0F6411"/>
    <w:rsid w:val="6B1F3258"/>
    <w:rsid w:val="6B4B4A16"/>
    <w:rsid w:val="6C5C5F78"/>
    <w:rsid w:val="7198088E"/>
    <w:rsid w:val="727856CE"/>
    <w:rsid w:val="7324542F"/>
    <w:rsid w:val="75986327"/>
    <w:rsid w:val="75C34AE7"/>
    <w:rsid w:val="785726D7"/>
    <w:rsid w:val="79B967DF"/>
    <w:rsid w:val="7B412EEE"/>
    <w:rsid w:val="7D4D0AF5"/>
    <w:rsid w:val="7D65738C"/>
    <w:rsid w:val="7E6152B4"/>
    <w:rsid w:val="7F325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Normal Indent"/>
    <w:basedOn w:val="1"/>
    <w:unhideWhenUsed/>
    <w:qFormat/>
    <w:uiPriority w:val="99"/>
    <w:pPr>
      <w:spacing w:line="570" w:lineRule="exact"/>
      <w:ind w:firstLine="640"/>
      <w:jc w:val="left"/>
    </w:pPr>
    <w:rPr>
      <w:szCs w:val="32"/>
    </w:rPr>
  </w:style>
  <w:style w:type="paragraph" w:styleId="4">
    <w:name w:val="Body Text Indent 2"/>
    <w:basedOn w:val="1"/>
    <w:next w:val="1"/>
    <w:qFormat/>
    <w:uiPriority w:val="0"/>
    <w:pPr>
      <w:spacing w:after="120" w:line="480" w:lineRule="auto"/>
      <w:ind w:left="420" w:leftChars="200"/>
    </w:pPr>
    <w:rPr>
      <w:rFonts w:ascii="Calibri" w:hAnsi="Calibri" w:eastAsia="宋体"/>
    </w:rPr>
  </w:style>
  <w:style w:type="paragraph" w:styleId="5">
    <w:name w:val="Balloon Text"/>
    <w:basedOn w:val="1"/>
    <w:link w:val="19"/>
    <w:qFormat/>
    <w:uiPriority w:val="0"/>
    <w:pPr>
      <w:spacing w:line="240" w:lineRule="auto"/>
    </w:pPr>
    <w:rPr>
      <w:sz w:val="18"/>
      <w:szCs w:val="18"/>
    </w:rPr>
  </w:style>
  <w:style w:type="paragraph" w:styleId="6">
    <w:name w:val="footer"/>
    <w:basedOn w:val="1"/>
    <w:link w:val="20"/>
    <w:qFormat/>
    <w:uiPriority w:val="0"/>
    <w:pPr>
      <w:tabs>
        <w:tab w:val="center" w:pos="4153"/>
        <w:tab w:val="right" w:pos="8306"/>
      </w:tabs>
      <w:spacing w:line="400" w:lineRule="atLeast"/>
      <w:ind w:right="320" w:rightChars="100" w:firstLine="0"/>
      <w:jc w:val="left"/>
    </w:pPr>
    <w:rPr>
      <w:rFonts w:eastAsia="宋体"/>
      <w:sz w:val="28"/>
    </w:rPr>
  </w:style>
  <w:style w:type="paragraph" w:styleId="7">
    <w:name w:val="header"/>
    <w:basedOn w:val="1"/>
    <w:qFormat/>
    <w:uiPriority w:val="0"/>
    <w:pPr>
      <w:tabs>
        <w:tab w:val="center" w:pos="4153"/>
        <w:tab w:val="right" w:pos="8306"/>
      </w:tabs>
      <w:spacing w:line="240" w:lineRule="atLeast"/>
      <w:jc w:val="center"/>
    </w:pPr>
    <w:rPr>
      <w:rFonts w:eastAsia="宋体"/>
      <w:sz w:val="18"/>
    </w:rPr>
  </w:style>
  <w:style w:type="paragraph" w:styleId="8">
    <w:name w:val="Normal (Web)"/>
    <w:basedOn w:val="1"/>
    <w:unhideWhenUsed/>
    <w:qFormat/>
    <w:uiPriority w:val="99"/>
    <w:pPr>
      <w:widowControl/>
      <w:autoSpaceDE/>
      <w:autoSpaceDN/>
      <w:snapToGrid/>
      <w:spacing w:before="100" w:beforeAutospacing="1" w:after="100" w:afterAutospacing="1" w:line="240" w:lineRule="auto"/>
      <w:ind w:firstLine="0"/>
      <w:jc w:val="left"/>
    </w:pPr>
    <w:rPr>
      <w:rFonts w:ascii="宋体" w:hAnsi="宋体" w:eastAsia="宋体" w:cs="宋体"/>
      <w:snapToGrid/>
      <w:sz w:val="24"/>
      <w:szCs w:val="24"/>
    </w:rPr>
  </w:style>
  <w:style w:type="table" w:styleId="10">
    <w:name w:val="Table Grid"/>
    <w:basedOn w:val="9"/>
    <w:qFormat/>
    <w:uiPriority w:val="59"/>
    <w:pPr>
      <w:widowControl w:val="0"/>
      <w:autoSpaceDE w:val="0"/>
      <w:autoSpaceDN w:val="0"/>
      <w:snapToGrid w:val="0"/>
      <w:spacing w:line="590" w:lineRule="atLeast"/>
      <w:ind w:firstLine="624"/>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rPr>
      <w:rFonts w:ascii="Times New Roman" w:hAnsi="Times New Roman" w:eastAsia="宋体" w:cs="Times New Roman"/>
    </w:rPr>
  </w:style>
  <w:style w:type="paragraph" w:customStyle="1" w:styleId="14">
    <w:name w:val="文头"/>
    <w:basedOn w:val="1"/>
    <w:qFormat/>
    <w:uiPriority w:val="0"/>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15">
    <w:name w:val="密级"/>
    <w:basedOn w:val="1"/>
    <w:qFormat/>
    <w:uiPriority w:val="0"/>
    <w:pPr>
      <w:adjustRightInd w:val="0"/>
      <w:snapToGrid/>
      <w:spacing w:line="425" w:lineRule="atLeast"/>
      <w:ind w:firstLine="0"/>
      <w:jc w:val="right"/>
    </w:pPr>
    <w:rPr>
      <w:rFonts w:ascii="黑体" w:eastAsia="黑体"/>
      <w:sz w:val="30"/>
    </w:rPr>
  </w:style>
  <w:style w:type="paragraph" w:customStyle="1" w:styleId="16">
    <w:name w:val="红线"/>
    <w:basedOn w:val="2"/>
    <w:qFormat/>
    <w:uiPriority w:val="0"/>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styleId="17">
    <w:name w:val="List Paragraph"/>
    <w:basedOn w:val="1"/>
    <w:qFormat/>
    <w:uiPriority w:val="0"/>
    <w:pPr>
      <w:ind w:firstLine="420" w:firstLineChars="200"/>
    </w:pPr>
    <w:rPr>
      <w:rFonts w:ascii="等线" w:hAnsi="等线" w:eastAsia="等线" w:cs="宋体"/>
      <w:szCs w:val="22"/>
    </w:rPr>
  </w:style>
  <w:style w:type="paragraph" w:customStyle="1" w:styleId="18">
    <w:name w:val="_Style 1"/>
    <w:basedOn w:val="1"/>
    <w:qFormat/>
    <w:uiPriority w:val="0"/>
    <w:pPr>
      <w:ind w:firstLine="420" w:firstLineChars="200"/>
    </w:pPr>
    <w:rPr>
      <w:rFonts w:ascii="等线" w:hAnsi="等线" w:eastAsia="等线" w:cs="宋体"/>
      <w:szCs w:val="22"/>
    </w:rPr>
  </w:style>
  <w:style w:type="character" w:customStyle="1" w:styleId="19">
    <w:name w:val="批注框文本 Char"/>
    <w:basedOn w:val="11"/>
    <w:link w:val="5"/>
    <w:qFormat/>
    <w:uiPriority w:val="0"/>
    <w:rPr>
      <w:rFonts w:ascii="Times New Roman" w:hAnsi="Times New Roman" w:eastAsia="方正仿宋_GBK" w:cs="Times New Roman"/>
      <w:snapToGrid w:val="0"/>
      <w:sz w:val="18"/>
      <w:szCs w:val="18"/>
    </w:rPr>
  </w:style>
  <w:style w:type="character" w:customStyle="1" w:styleId="20">
    <w:name w:val="页脚 Char"/>
    <w:basedOn w:val="11"/>
    <w:link w:val="6"/>
    <w:qFormat/>
    <w:uiPriority w:val="0"/>
    <w:rPr>
      <w:snapToGrid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596</Words>
  <Characters>3398</Characters>
  <Lines>28</Lines>
  <Paragraphs>7</Paragraphs>
  <TotalTime>2</TotalTime>
  <ScaleCrop>false</ScaleCrop>
  <LinksUpToDate>false</LinksUpToDate>
  <CharactersWithSpaces>3987</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2026-04-01T13:13:00Z</dcterms:created>
  <dc:creator>尤雨婷Joanna</dc:creator>
  <cp:lastModifiedBy>DELL</cp:lastModifiedBy>
  <cp:lastPrinted>2026-02-12T09:30:00Z</cp:lastPrinted>
  <dcterms:modified xsi:type="dcterms:W3CDTF">2026-04-01T13:17:10Z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420A98661D5A4CD9A51F3C289ABEAD26</vt:lpwstr>
  </property>
  <property fmtid="{D5CDD505-2E9C-101B-9397-08002B2CF9AE}" pid="4" name="KSOTemplateDocerSaveRecord">
    <vt:lpwstr>eyJoZGlkIjoiNTIyMTE3NWNkNjBjMGY3NDczNDVmYmFlMjY3MTFjMzEiLCJ1c2VySWQiOiIzNzk0NTMwMjEifQ==</vt:lpwstr>
  </property>
</Properties>
</file>