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089B0B23" w14:textId="77777777" w:rsidR="00D60162" w:rsidRDefault="00000000">
      <w:pPr>
        <w:spacing w:line="570" w:lineRule="exact"/>
        <w:ind w:firstLine="0"/>
        <w:rPr>
          <w:rFonts w:ascii="方正黑体_GBK" w:eastAsia="方正黑体_GBK"/>
        </w:rPr>
      </w:pPr>
      <w:r>
        <w:rPr>
          <w:rFonts w:ascii="方正黑体_GBK" w:eastAsia="方正黑体_GBK" w:hint="eastAsia"/>
        </w:rPr>
        <w:t>附件</w:t>
      </w:r>
    </w:p>
    <w:p w14:paraId="3F06FB88" w14:textId="77777777" w:rsidR="00D60162" w:rsidRDefault="00000000">
      <w:pPr>
        <w:spacing w:line="570" w:lineRule="exact"/>
        <w:ind w:firstLine="0"/>
        <w:jc w:val="center"/>
        <w:rPr>
          <w:rFonts w:ascii="方正小标宋_GBK" w:eastAsia="方正小标宋_GBK"/>
          <w:sz w:val="44"/>
          <w:szCs w:val="44"/>
        </w:rPr>
      </w:pPr>
      <w:r>
        <w:rPr>
          <w:rFonts w:ascii="方正小标宋_GBK" w:eastAsia="方正小标宋_GBK" w:hint="eastAsia"/>
          <w:sz w:val="44"/>
          <w:szCs w:val="44"/>
        </w:rPr>
        <w:t>江苏省实施城市更新行动可复制经验做法清单（第三批）</w:t>
      </w:r>
    </w:p>
    <w:p w14:paraId="09EC64A1" w14:textId="77777777" w:rsidR="00D60162" w:rsidRDefault="00D60162">
      <w:pPr>
        <w:spacing w:line="570" w:lineRule="exact"/>
        <w:ind w:firstLine="0"/>
      </w:pPr>
    </w:p>
    <w:tbl>
      <w:tblPr>
        <w:tblStyle w:val="a6"/>
        <w:tblW w:w="5000" w:type="pct"/>
        <w:jc w:val="center"/>
        <w:tblLook w:val="04A0" w:firstRow="1" w:lastRow="0" w:firstColumn="1" w:lastColumn="0" w:noHBand="0" w:noVBand="1"/>
      </w:tblPr>
      <w:tblGrid>
        <w:gridCol w:w="815"/>
        <w:gridCol w:w="1436"/>
        <w:gridCol w:w="1449"/>
        <w:gridCol w:w="9329"/>
      </w:tblGrid>
      <w:tr w:rsidR="00D60162" w14:paraId="2B1CFB59" w14:textId="77777777">
        <w:trPr>
          <w:trHeight w:val="556"/>
          <w:jc w:val="center"/>
        </w:trPr>
        <w:tc>
          <w:tcPr>
            <w:tcW w:w="313" w:type="pct"/>
            <w:tcBorders>
              <w:top w:val="single" w:sz="4" w:space="0" w:color="000000"/>
              <w:left w:val="single" w:sz="4" w:space="0" w:color="000000"/>
              <w:bottom w:val="single" w:sz="4" w:space="0" w:color="000000"/>
              <w:right w:val="single" w:sz="4" w:space="0" w:color="000000"/>
            </w:tcBorders>
            <w:shd w:val="clear" w:color="auto" w:fill="auto"/>
            <w:vAlign w:val="center"/>
          </w:tcPr>
          <w:p w14:paraId="4CDD2E42" w14:textId="77777777" w:rsidR="00D60162" w:rsidRDefault="00000000">
            <w:pPr>
              <w:spacing w:line="400" w:lineRule="exact"/>
              <w:ind w:firstLine="0"/>
              <w:jc w:val="center"/>
              <w:rPr>
                <w:rFonts w:ascii="方正黑体_GBK" w:eastAsia="方正黑体_GBK" w:hAnsi="方正黑体_GBK" w:cs="方正黑体_GBK" w:hint="eastAsia"/>
                <w:kern w:val="2"/>
                <w:sz w:val="28"/>
              </w:rPr>
            </w:pPr>
            <w:r>
              <w:rPr>
                <w:rFonts w:ascii="方正黑体_GBK" w:eastAsia="方正黑体_GBK" w:hAnsi="方正黑体_GBK" w:cs="方正黑体_GBK" w:hint="eastAsia"/>
                <w:kern w:val="2"/>
                <w:sz w:val="28"/>
                <w:szCs w:val="28"/>
                <w:lang w:bidi="ar"/>
              </w:rPr>
              <w:t>序号</w:t>
            </w:r>
          </w:p>
        </w:tc>
        <w:tc>
          <w:tcPr>
            <w:tcW w:w="551" w:type="pct"/>
            <w:tcBorders>
              <w:top w:val="single" w:sz="4" w:space="0" w:color="000000"/>
              <w:left w:val="single" w:sz="4" w:space="0" w:color="000000"/>
              <w:bottom w:val="single" w:sz="4" w:space="0" w:color="000000"/>
              <w:right w:val="single" w:sz="4" w:space="0" w:color="000000"/>
            </w:tcBorders>
            <w:shd w:val="clear" w:color="auto" w:fill="auto"/>
            <w:vAlign w:val="center"/>
          </w:tcPr>
          <w:p w14:paraId="5C44758A" w14:textId="77777777" w:rsidR="00D60162" w:rsidRDefault="00000000">
            <w:pPr>
              <w:spacing w:line="400" w:lineRule="exact"/>
              <w:ind w:firstLine="0"/>
              <w:jc w:val="center"/>
              <w:rPr>
                <w:rFonts w:ascii="方正黑体_GBK" w:eastAsia="方正黑体_GBK" w:hAnsi="方正黑体_GBK" w:cs="方正黑体_GBK" w:hint="eastAsia"/>
                <w:kern w:val="2"/>
                <w:sz w:val="28"/>
              </w:rPr>
            </w:pPr>
            <w:r>
              <w:rPr>
                <w:rFonts w:ascii="方正黑体_GBK" w:eastAsia="方正黑体_GBK" w:hAnsi="方正黑体_GBK" w:cs="方正黑体_GBK" w:hint="eastAsia"/>
                <w:kern w:val="2"/>
                <w:sz w:val="28"/>
                <w:szCs w:val="28"/>
                <w:lang w:bidi="ar"/>
              </w:rPr>
              <w:t>政策机制</w:t>
            </w:r>
          </w:p>
        </w:tc>
        <w:tc>
          <w:tcPr>
            <w:tcW w:w="556" w:type="pct"/>
            <w:tcBorders>
              <w:top w:val="single" w:sz="4" w:space="0" w:color="000000"/>
              <w:left w:val="single" w:sz="4" w:space="0" w:color="000000"/>
              <w:bottom w:val="single" w:sz="4" w:space="0" w:color="000000"/>
              <w:right w:val="single" w:sz="4" w:space="0" w:color="000000"/>
            </w:tcBorders>
            <w:shd w:val="clear" w:color="auto" w:fill="auto"/>
            <w:vAlign w:val="center"/>
          </w:tcPr>
          <w:p w14:paraId="495E079F" w14:textId="77777777" w:rsidR="00D60162" w:rsidRDefault="00000000">
            <w:pPr>
              <w:spacing w:line="400" w:lineRule="exact"/>
              <w:ind w:firstLine="0"/>
              <w:jc w:val="center"/>
              <w:rPr>
                <w:rFonts w:ascii="方正黑体_GBK" w:eastAsia="方正黑体_GBK" w:hAnsi="方正黑体_GBK" w:cs="方正黑体_GBK" w:hint="eastAsia"/>
                <w:kern w:val="2"/>
                <w:sz w:val="28"/>
                <w:lang w:bidi="ar"/>
              </w:rPr>
            </w:pPr>
            <w:r>
              <w:rPr>
                <w:rFonts w:ascii="方正黑体_GBK" w:eastAsia="方正黑体_GBK" w:hAnsi="方正黑体_GBK" w:cs="方正黑体_GBK" w:hint="eastAsia"/>
                <w:kern w:val="2"/>
                <w:sz w:val="28"/>
                <w:szCs w:val="28"/>
                <w:lang w:bidi="ar"/>
              </w:rPr>
              <w:t>主要举措</w:t>
            </w:r>
          </w:p>
        </w:tc>
        <w:tc>
          <w:tcPr>
            <w:tcW w:w="3579" w:type="pct"/>
            <w:tcBorders>
              <w:top w:val="single" w:sz="4" w:space="0" w:color="000000"/>
              <w:left w:val="single" w:sz="4" w:space="0" w:color="000000"/>
              <w:bottom w:val="single" w:sz="4" w:space="0" w:color="000000"/>
              <w:right w:val="single" w:sz="4" w:space="0" w:color="000000"/>
            </w:tcBorders>
            <w:shd w:val="clear" w:color="auto" w:fill="auto"/>
            <w:vAlign w:val="center"/>
          </w:tcPr>
          <w:p w14:paraId="37574C75" w14:textId="77777777" w:rsidR="00D60162" w:rsidRDefault="00000000">
            <w:pPr>
              <w:spacing w:line="400" w:lineRule="exact"/>
              <w:ind w:firstLine="0"/>
              <w:jc w:val="center"/>
              <w:rPr>
                <w:rFonts w:ascii="方正黑体_GBK" w:eastAsia="方正黑体_GBK" w:hAnsi="方正黑体_GBK" w:cs="方正黑体_GBK" w:hint="eastAsia"/>
                <w:kern w:val="2"/>
                <w:sz w:val="28"/>
                <w:lang w:bidi="ar"/>
              </w:rPr>
            </w:pPr>
            <w:r>
              <w:rPr>
                <w:rFonts w:ascii="方正黑体_GBK" w:eastAsia="方正黑体_GBK" w:hAnsi="方正黑体_GBK" w:cs="方正黑体_GBK" w:hint="eastAsia"/>
                <w:kern w:val="2"/>
                <w:sz w:val="28"/>
                <w:szCs w:val="28"/>
                <w:lang w:bidi="ar"/>
              </w:rPr>
              <w:t>具体做法</w:t>
            </w:r>
          </w:p>
        </w:tc>
      </w:tr>
      <w:tr w:rsidR="00D60162" w14:paraId="79D19836" w14:textId="77777777">
        <w:trPr>
          <w:jc w:val="center"/>
        </w:trPr>
        <w:tc>
          <w:tcPr>
            <w:tcW w:w="313" w:type="pct"/>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14:paraId="11E34CD1" w14:textId="77777777" w:rsidR="00D60162" w:rsidRDefault="00000000">
            <w:pPr>
              <w:spacing w:line="400" w:lineRule="exact"/>
              <w:ind w:firstLine="0"/>
              <w:jc w:val="center"/>
              <w:rPr>
                <w:rFonts w:ascii="方正楷体_GBK" w:eastAsia="方正楷体_GBK" w:hAnsi="方正楷体_GBK" w:cs="方正楷体_GBK" w:hint="eastAsia"/>
                <w:kern w:val="2"/>
                <w:sz w:val="28"/>
              </w:rPr>
            </w:pPr>
            <w:bookmarkStart w:id="0" w:name="_Hlk210136792"/>
            <w:proofErr w:type="gramStart"/>
            <w:r>
              <w:rPr>
                <w:rFonts w:ascii="方正楷体_GBK" w:eastAsia="方正楷体_GBK" w:hAnsi="方正楷体_GBK" w:cs="方正楷体_GBK" w:hint="eastAsia"/>
                <w:kern w:val="2"/>
                <w:sz w:val="28"/>
                <w:szCs w:val="28"/>
                <w:lang w:bidi="ar"/>
              </w:rPr>
              <w:t>一</w:t>
            </w:r>
            <w:bookmarkEnd w:id="0"/>
            <w:proofErr w:type="gramEnd"/>
          </w:p>
        </w:tc>
        <w:tc>
          <w:tcPr>
            <w:tcW w:w="551" w:type="pct"/>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14:paraId="5806AC57" w14:textId="77777777" w:rsidR="00D60162" w:rsidRDefault="00000000">
            <w:pPr>
              <w:spacing w:line="400" w:lineRule="exact"/>
              <w:ind w:firstLine="0"/>
              <w:jc w:val="center"/>
              <w:rPr>
                <w:rFonts w:ascii="方正楷体_GBK" w:eastAsia="方正楷体_GBK" w:hAnsi="方正楷体_GBK" w:cs="方正楷体_GBK" w:hint="eastAsia"/>
                <w:kern w:val="2"/>
                <w:sz w:val="28"/>
              </w:rPr>
            </w:pPr>
            <w:r>
              <w:rPr>
                <w:rFonts w:ascii="方正楷体_GBK" w:eastAsia="方正楷体_GBK" w:hAnsi="方正楷体_GBK" w:cs="方正楷体_GBK" w:hint="eastAsia"/>
                <w:kern w:val="2"/>
                <w:sz w:val="28"/>
                <w:szCs w:val="28"/>
                <w:lang w:bidi="ar"/>
              </w:rPr>
              <w:t>建立城市更新工作统筹机制</w:t>
            </w:r>
          </w:p>
        </w:tc>
        <w:tc>
          <w:tcPr>
            <w:tcW w:w="556" w:type="pct"/>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14:paraId="130E6B36" w14:textId="77777777" w:rsidR="00D60162" w:rsidRDefault="00000000">
            <w:pPr>
              <w:spacing w:line="400" w:lineRule="exact"/>
              <w:ind w:firstLine="0"/>
              <w:jc w:val="center"/>
              <w:rPr>
                <w:rFonts w:ascii="方正楷体_GBK" w:eastAsia="方正楷体_GBK" w:hAnsi="方正楷体_GBK" w:cs="方正楷体_GBK" w:hint="eastAsia"/>
                <w:kern w:val="2"/>
                <w:sz w:val="28"/>
                <w:lang w:eastAsia="zh" w:bidi="ar"/>
              </w:rPr>
            </w:pPr>
            <w:r>
              <w:rPr>
                <w:rFonts w:ascii="方正楷体_GBK" w:eastAsia="方正楷体_GBK" w:hAnsi="方正楷体_GBK" w:cs="方正楷体_GBK" w:hint="eastAsia"/>
                <w:kern w:val="2"/>
                <w:sz w:val="28"/>
                <w:szCs w:val="28"/>
                <w:lang w:bidi="ar"/>
              </w:rPr>
              <w:t>完善城市更新法规体系</w:t>
            </w:r>
          </w:p>
        </w:tc>
        <w:tc>
          <w:tcPr>
            <w:tcW w:w="3579" w:type="pct"/>
            <w:tcBorders>
              <w:top w:val="single" w:sz="4" w:space="0" w:color="000000"/>
              <w:left w:val="single" w:sz="4" w:space="0" w:color="000000"/>
              <w:bottom w:val="single" w:sz="4" w:space="0" w:color="000000"/>
              <w:right w:val="single" w:sz="4" w:space="0" w:color="000000"/>
            </w:tcBorders>
            <w:shd w:val="clear" w:color="auto" w:fill="auto"/>
            <w:vAlign w:val="center"/>
          </w:tcPr>
          <w:p w14:paraId="2B33B5C9" w14:textId="77777777" w:rsidR="00D60162" w:rsidRDefault="00000000">
            <w:pPr>
              <w:pStyle w:val="11"/>
              <w:widowControl/>
              <w:numPr>
                <w:ilvl w:val="255"/>
                <w:numId w:val="0"/>
              </w:numPr>
              <w:spacing w:line="400" w:lineRule="exact"/>
              <w:rPr>
                <w:rFonts w:ascii="Times New Roman" w:eastAsia="方正仿宋_GBK" w:hAnsi="Times New Roman"/>
                <w:sz w:val="28"/>
                <w:szCs w:val="28"/>
              </w:rPr>
            </w:pPr>
            <w:r>
              <w:rPr>
                <w:rFonts w:ascii="Times New Roman" w:eastAsia="方正仿宋_GBK" w:hAnsi="Times New Roman" w:hint="eastAsia"/>
                <w:b/>
                <w:bCs/>
                <w:sz w:val="28"/>
                <w:szCs w:val="28"/>
                <w:lang w:eastAsia="zh"/>
              </w:rPr>
              <w:t>1.</w:t>
            </w:r>
            <w:r>
              <w:rPr>
                <w:rFonts w:ascii="Times New Roman" w:eastAsia="方正仿宋_GBK" w:hAnsi="Times New Roman"/>
                <w:b/>
                <w:bCs/>
                <w:sz w:val="28"/>
                <w:szCs w:val="28"/>
              </w:rPr>
              <w:t>苏州市</w:t>
            </w:r>
            <w:r>
              <w:rPr>
                <w:rFonts w:ascii="Times New Roman" w:eastAsia="方正仿宋_GBK" w:hAnsi="Times New Roman" w:hint="eastAsia"/>
                <w:b/>
                <w:bCs/>
                <w:sz w:val="28"/>
                <w:szCs w:val="28"/>
              </w:rPr>
              <w:t>推动</w:t>
            </w:r>
            <w:r>
              <w:rPr>
                <w:rFonts w:ascii="Times New Roman" w:eastAsia="方正仿宋_GBK" w:hAnsi="Times New Roman"/>
                <w:b/>
                <w:bCs/>
                <w:sz w:val="28"/>
                <w:szCs w:val="28"/>
              </w:rPr>
              <w:t>城市更新立法</w:t>
            </w:r>
            <w:r>
              <w:rPr>
                <w:rFonts w:ascii="Times New Roman" w:eastAsia="方正仿宋_GBK" w:hAnsi="Times New Roman" w:hint="eastAsia"/>
                <w:b/>
                <w:bCs/>
                <w:sz w:val="28"/>
                <w:szCs w:val="28"/>
              </w:rPr>
              <w:t>保障</w:t>
            </w:r>
            <w:r>
              <w:rPr>
                <w:rFonts w:ascii="Times New Roman" w:eastAsia="方正仿宋_GBK" w:hAnsi="Times New Roman"/>
                <w:b/>
                <w:bCs/>
                <w:sz w:val="28"/>
                <w:szCs w:val="28"/>
              </w:rPr>
              <w:t>。</w:t>
            </w:r>
            <w:r>
              <w:rPr>
                <w:rFonts w:ascii="Times New Roman" w:eastAsia="方正仿宋_GBK" w:hAnsi="Times New Roman"/>
                <w:sz w:val="28"/>
                <w:szCs w:val="28"/>
              </w:rPr>
              <w:t>2025</w:t>
            </w:r>
            <w:r>
              <w:rPr>
                <w:rFonts w:ascii="Times New Roman" w:eastAsia="方正仿宋_GBK" w:hAnsi="Times New Roman"/>
                <w:sz w:val="28"/>
                <w:szCs w:val="28"/>
              </w:rPr>
              <w:t>年</w:t>
            </w:r>
            <w:r>
              <w:rPr>
                <w:rFonts w:ascii="Times New Roman" w:eastAsia="方正仿宋_GBK" w:hAnsi="Times New Roman"/>
                <w:sz w:val="28"/>
                <w:szCs w:val="28"/>
              </w:rPr>
              <w:t>6</w:t>
            </w:r>
            <w:r>
              <w:rPr>
                <w:rFonts w:ascii="Times New Roman" w:eastAsia="方正仿宋_GBK" w:hAnsi="Times New Roman"/>
                <w:sz w:val="28"/>
                <w:szCs w:val="28"/>
              </w:rPr>
              <w:t>月，《苏州市城市更新条例》正式颁布实施，是江苏省首部城市更新地方性法规；《条例》明确了</w:t>
            </w:r>
            <w:r>
              <w:rPr>
                <w:rFonts w:ascii="Times New Roman" w:eastAsia="方正仿宋_GBK" w:hAnsi="Times New Roman"/>
                <w:sz w:val="28"/>
                <w:szCs w:val="28"/>
              </w:rPr>
              <w:t>“</w:t>
            </w:r>
            <w:r>
              <w:rPr>
                <w:rFonts w:ascii="Times New Roman" w:eastAsia="方正仿宋_GBK" w:hAnsi="Times New Roman"/>
                <w:sz w:val="28"/>
                <w:szCs w:val="28"/>
              </w:rPr>
              <w:t>体检</w:t>
            </w:r>
            <w:r>
              <w:rPr>
                <w:rFonts w:ascii="Times New Roman" w:eastAsia="方正仿宋_GBK" w:hAnsi="Times New Roman"/>
                <w:sz w:val="28"/>
                <w:szCs w:val="28"/>
              </w:rPr>
              <w:t>—</w:t>
            </w:r>
            <w:r>
              <w:rPr>
                <w:rFonts w:ascii="Times New Roman" w:eastAsia="方正仿宋_GBK" w:hAnsi="Times New Roman"/>
                <w:sz w:val="28"/>
                <w:szCs w:val="28"/>
              </w:rPr>
              <w:t>专项规划</w:t>
            </w:r>
            <w:r>
              <w:rPr>
                <w:rFonts w:ascii="Times New Roman" w:eastAsia="方正仿宋_GBK" w:hAnsi="Times New Roman"/>
                <w:sz w:val="28"/>
                <w:szCs w:val="28"/>
              </w:rPr>
              <w:t>—</w:t>
            </w:r>
            <w:r>
              <w:rPr>
                <w:rFonts w:ascii="Times New Roman" w:eastAsia="方正仿宋_GBK" w:hAnsi="Times New Roman"/>
                <w:sz w:val="28"/>
                <w:szCs w:val="28"/>
              </w:rPr>
              <w:t>项目库</w:t>
            </w:r>
            <w:r>
              <w:rPr>
                <w:rFonts w:ascii="Times New Roman" w:eastAsia="方正仿宋_GBK" w:hAnsi="Times New Roman"/>
                <w:sz w:val="28"/>
                <w:szCs w:val="28"/>
              </w:rPr>
              <w:t>—</w:t>
            </w:r>
            <w:r>
              <w:rPr>
                <w:rFonts w:ascii="Times New Roman" w:eastAsia="方正仿宋_GBK" w:hAnsi="Times New Roman"/>
                <w:sz w:val="28"/>
                <w:szCs w:val="28"/>
              </w:rPr>
              <w:t>年度计划</w:t>
            </w:r>
            <w:r>
              <w:rPr>
                <w:rFonts w:ascii="Times New Roman" w:eastAsia="方正仿宋_GBK" w:hAnsi="Times New Roman"/>
                <w:sz w:val="28"/>
                <w:szCs w:val="28"/>
              </w:rPr>
              <w:t>—</w:t>
            </w:r>
            <w:r>
              <w:rPr>
                <w:rFonts w:ascii="Times New Roman" w:eastAsia="方正仿宋_GBK" w:hAnsi="Times New Roman"/>
                <w:sz w:val="28"/>
                <w:szCs w:val="28"/>
              </w:rPr>
              <w:t>项目实施</w:t>
            </w:r>
            <w:r>
              <w:rPr>
                <w:rFonts w:ascii="Times New Roman" w:eastAsia="方正仿宋_GBK" w:hAnsi="Times New Roman"/>
                <w:sz w:val="28"/>
                <w:szCs w:val="28"/>
              </w:rPr>
              <w:t>—</w:t>
            </w:r>
            <w:r>
              <w:rPr>
                <w:rFonts w:ascii="Times New Roman" w:eastAsia="方正仿宋_GBK" w:hAnsi="Times New Roman"/>
                <w:sz w:val="28"/>
                <w:szCs w:val="28"/>
              </w:rPr>
              <w:t>效果评估</w:t>
            </w:r>
            <w:r>
              <w:rPr>
                <w:rFonts w:ascii="Times New Roman" w:eastAsia="方正仿宋_GBK" w:hAnsi="Times New Roman"/>
                <w:sz w:val="28"/>
                <w:szCs w:val="28"/>
              </w:rPr>
              <w:t>”</w:t>
            </w:r>
            <w:r>
              <w:rPr>
                <w:rFonts w:ascii="Times New Roman" w:eastAsia="方正仿宋_GBK" w:hAnsi="Times New Roman"/>
                <w:sz w:val="28"/>
                <w:szCs w:val="28"/>
              </w:rPr>
              <w:t>全流程更新机制，构建政府统筹推进更新和物业权利人自主更新相结合的可持续城市更新模式，专设低效产业用地更新和历史文化传承保护特别规定。</w:t>
            </w:r>
          </w:p>
        </w:tc>
      </w:tr>
      <w:tr w:rsidR="00D60162" w14:paraId="4EC1F6C7" w14:textId="77777777">
        <w:trPr>
          <w:jc w:val="center"/>
        </w:trPr>
        <w:tc>
          <w:tcPr>
            <w:tcW w:w="313" w:type="pct"/>
            <w:vMerge/>
            <w:tcBorders>
              <w:top w:val="single" w:sz="4" w:space="0" w:color="000000"/>
              <w:left w:val="single" w:sz="4" w:space="0" w:color="000000"/>
              <w:bottom w:val="single" w:sz="4" w:space="0" w:color="000000"/>
              <w:right w:val="single" w:sz="4" w:space="0" w:color="000000"/>
            </w:tcBorders>
            <w:shd w:val="clear" w:color="auto" w:fill="auto"/>
            <w:vAlign w:val="center"/>
          </w:tcPr>
          <w:p w14:paraId="78C958A8" w14:textId="77777777" w:rsidR="00D60162" w:rsidRDefault="00D60162">
            <w:pPr>
              <w:rPr>
                <w:rFonts w:ascii="方正楷体_GBK" w:eastAsia="方正楷体_GBK" w:hAnsi="方正楷体_GBK" w:cs="方正楷体_GBK" w:hint="eastAsia"/>
                <w:sz w:val="20"/>
              </w:rPr>
            </w:pPr>
          </w:p>
        </w:tc>
        <w:tc>
          <w:tcPr>
            <w:tcW w:w="551" w:type="pct"/>
            <w:vMerge/>
            <w:tcBorders>
              <w:top w:val="single" w:sz="4" w:space="0" w:color="000000"/>
              <w:left w:val="single" w:sz="4" w:space="0" w:color="000000"/>
              <w:bottom w:val="single" w:sz="4" w:space="0" w:color="000000"/>
              <w:right w:val="single" w:sz="4" w:space="0" w:color="000000"/>
            </w:tcBorders>
            <w:shd w:val="clear" w:color="auto" w:fill="auto"/>
            <w:vAlign w:val="center"/>
          </w:tcPr>
          <w:p w14:paraId="5F5B2DC6" w14:textId="77777777" w:rsidR="00D60162" w:rsidRDefault="00D60162">
            <w:pPr>
              <w:rPr>
                <w:rFonts w:ascii="方正楷体_GBK" w:eastAsia="方正楷体_GBK" w:hAnsi="方正楷体_GBK" w:cs="方正楷体_GBK" w:hint="eastAsia"/>
                <w:sz w:val="20"/>
              </w:rPr>
            </w:pPr>
          </w:p>
        </w:tc>
        <w:tc>
          <w:tcPr>
            <w:tcW w:w="55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14:paraId="47F7F1CD" w14:textId="77777777" w:rsidR="00D60162" w:rsidRDefault="00D60162">
            <w:pPr>
              <w:spacing w:line="400" w:lineRule="exact"/>
              <w:ind w:firstLine="0"/>
              <w:jc w:val="center"/>
              <w:rPr>
                <w:rFonts w:ascii="方正楷体_GBK" w:eastAsia="方正楷体_GBK" w:hAnsi="方正楷体_GBK" w:cs="方正楷体_GBK" w:hint="eastAsia"/>
                <w:kern w:val="2"/>
                <w:sz w:val="28"/>
                <w:szCs w:val="28"/>
                <w:lang w:bidi="ar"/>
              </w:rPr>
            </w:pPr>
          </w:p>
        </w:tc>
        <w:tc>
          <w:tcPr>
            <w:tcW w:w="3579" w:type="pct"/>
            <w:tcBorders>
              <w:top w:val="single" w:sz="4" w:space="0" w:color="000000"/>
              <w:left w:val="single" w:sz="4" w:space="0" w:color="000000"/>
              <w:bottom w:val="single" w:sz="4" w:space="0" w:color="000000"/>
              <w:right w:val="single" w:sz="4" w:space="0" w:color="000000"/>
            </w:tcBorders>
            <w:shd w:val="clear" w:color="auto" w:fill="auto"/>
            <w:vAlign w:val="center"/>
          </w:tcPr>
          <w:p w14:paraId="0E041C65" w14:textId="77777777" w:rsidR="00D60162" w:rsidRDefault="00000000">
            <w:pPr>
              <w:pStyle w:val="11"/>
              <w:widowControl/>
              <w:numPr>
                <w:ilvl w:val="255"/>
                <w:numId w:val="0"/>
              </w:numPr>
              <w:spacing w:line="400" w:lineRule="exact"/>
              <w:rPr>
                <w:rFonts w:ascii="Times New Roman" w:eastAsia="方正仿宋_GBK" w:hAnsi="Times New Roman"/>
                <w:sz w:val="28"/>
                <w:szCs w:val="28"/>
              </w:rPr>
            </w:pPr>
            <w:r>
              <w:rPr>
                <w:rFonts w:ascii="Times New Roman" w:eastAsia="方正仿宋_GBK" w:hAnsi="Times New Roman" w:hint="eastAsia"/>
                <w:b/>
                <w:bCs/>
                <w:sz w:val="28"/>
                <w:szCs w:val="28"/>
                <w:lang w:eastAsia="zh"/>
              </w:rPr>
              <w:t>2.</w:t>
            </w:r>
            <w:r>
              <w:rPr>
                <w:rFonts w:ascii="Times New Roman" w:eastAsia="方正仿宋_GBK" w:hAnsi="Times New Roman"/>
                <w:b/>
                <w:bCs/>
                <w:sz w:val="28"/>
                <w:szCs w:val="28"/>
              </w:rPr>
              <w:t>无锡市发布城市更新办法和三年行动计划。</w:t>
            </w:r>
            <w:r>
              <w:rPr>
                <w:rFonts w:ascii="Times New Roman" w:eastAsia="方正仿宋_GBK" w:hAnsi="Times New Roman"/>
                <w:sz w:val="28"/>
                <w:szCs w:val="28"/>
              </w:rPr>
              <w:t>发布《无锡市城市更新办法》，明确城市更新工作机制、工作规程、支持政策，推动形成</w:t>
            </w:r>
            <w:r>
              <w:rPr>
                <w:rFonts w:ascii="Times New Roman" w:eastAsia="方正仿宋_GBK" w:hAnsi="Times New Roman"/>
                <w:sz w:val="28"/>
                <w:szCs w:val="28"/>
              </w:rPr>
              <w:t>“1+N”</w:t>
            </w:r>
            <w:r>
              <w:rPr>
                <w:rFonts w:ascii="Times New Roman" w:eastAsia="方正仿宋_GBK" w:hAnsi="Times New Roman"/>
                <w:sz w:val="28"/>
                <w:szCs w:val="28"/>
              </w:rPr>
              <w:t>的城市更新政策支撑体系；出台《无锡市城市更新三年行动计划（</w:t>
            </w:r>
            <w:r>
              <w:rPr>
                <w:rFonts w:ascii="Times New Roman" w:eastAsia="方正仿宋_GBK" w:hAnsi="Times New Roman"/>
                <w:sz w:val="28"/>
                <w:szCs w:val="28"/>
              </w:rPr>
              <w:t>2025-2027</w:t>
            </w:r>
            <w:r>
              <w:rPr>
                <w:rFonts w:ascii="Times New Roman" w:eastAsia="方正仿宋_GBK" w:hAnsi="Times New Roman"/>
                <w:sz w:val="28"/>
                <w:szCs w:val="28"/>
              </w:rPr>
              <w:t>年）》，实施城市更新</w:t>
            </w:r>
            <w:r>
              <w:rPr>
                <w:rFonts w:ascii="Times New Roman" w:eastAsia="方正仿宋_GBK" w:hAnsi="Times New Roman"/>
                <w:sz w:val="28"/>
                <w:szCs w:val="28"/>
              </w:rPr>
              <w:t>“1+7+N”</w:t>
            </w:r>
            <w:r>
              <w:rPr>
                <w:rFonts w:ascii="Times New Roman" w:eastAsia="方正仿宋_GBK" w:hAnsi="Times New Roman"/>
                <w:sz w:val="28"/>
                <w:szCs w:val="28"/>
              </w:rPr>
              <w:t>专项行动，以一批综合连片更新片区为引领，统筹</w:t>
            </w:r>
            <w:r>
              <w:rPr>
                <w:rFonts w:ascii="Times New Roman" w:eastAsia="方正仿宋_GBK" w:hAnsi="Times New Roman"/>
                <w:sz w:val="28"/>
                <w:szCs w:val="28"/>
              </w:rPr>
              <w:t>7</w:t>
            </w:r>
            <w:r>
              <w:rPr>
                <w:rFonts w:ascii="Times New Roman" w:eastAsia="方正仿宋_GBK" w:hAnsi="Times New Roman"/>
                <w:sz w:val="28"/>
                <w:szCs w:val="28"/>
              </w:rPr>
              <w:t>类专项更新项目，打造</w:t>
            </w:r>
            <w:r>
              <w:rPr>
                <w:rFonts w:ascii="Times New Roman" w:eastAsia="方正仿宋_GBK" w:hAnsi="Times New Roman"/>
                <w:sz w:val="28"/>
                <w:szCs w:val="28"/>
              </w:rPr>
              <w:t>N</w:t>
            </w:r>
            <w:proofErr w:type="gramStart"/>
            <w:r>
              <w:rPr>
                <w:rFonts w:ascii="Times New Roman" w:eastAsia="方正仿宋_GBK" w:hAnsi="Times New Roman"/>
                <w:sz w:val="28"/>
                <w:szCs w:val="28"/>
              </w:rPr>
              <w:t>个</w:t>
            </w:r>
            <w:proofErr w:type="gramEnd"/>
            <w:r>
              <w:rPr>
                <w:rFonts w:ascii="Times New Roman" w:eastAsia="方正仿宋_GBK" w:hAnsi="Times New Roman"/>
                <w:sz w:val="28"/>
                <w:szCs w:val="28"/>
              </w:rPr>
              <w:t>特色亮点项目，由点及面打造可观可感可享的更新成果。</w:t>
            </w:r>
          </w:p>
        </w:tc>
      </w:tr>
      <w:tr w:rsidR="00D60162" w14:paraId="2B844955" w14:textId="77777777">
        <w:trPr>
          <w:trHeight w:val="1689"/>
          <w:jc w:val="center"/>
        </w:trPr>
        <w:tc>
          <w:tcPr>
            <w:tcW w:w="313" w:type="pct"/>
            <w:vMerge/>
            <w:tcBorders>
              <w:top w:val="single" w:sz="4" w:space="0" w:color="000000"/>
              <w:left w:val="single" w:sz="4" w:space="0" w:color="000000"/>
              <w:bottom w:val="single" w:sz="4" w:space="0" w:color="000000"/>
              <w:right w:val="single" w:sz="4" w:space="0" w:color="000000"/>
            </w:tcBorders>
            <w:shd w:val="clear" w:color="auto" w:fill="auto"/>
            <w:vAlign w:val="center"/>
          </w:tcPr>
          <w:p w14:paraId="022510F4" w14:textId="77777777" w:rsidR="00D60162" w:rsidRDefault="00D60162">
            <w:pPr>
              <w:rPr>
                <w:rFonts w:ascii="方正楷体_GBK" w:eastAsia="方正楷体_GBK" w:hAnsi="方正楷体_GBK" w:cs="方正楷体_GBK" w:hint="eastAsia"/>
                <w:sz w:val="20"/>
              </w:rPr>
            </w:pPr>
          </w:p>
        </w:tc>
        <w:tc>
          <w:tcPr>
            <w:tcW w:w="551" w:type="pct"/>
            <w:vMerge/>
            <w:tcBorders>
              <w:top w:val="single" w:sz="4" w:space="0" w:color="000000"/>
              <w:left w:val="single" w:sz="4" w:space="0" w:color="000000"/>
              <w:bottom w:val="single" w:sz="4" w:space="0" w:color="000000"/>
              <w:right w:val="single" w:sz="4" w:space="0" w:color="000000"/>
            </w:tcBorders>
            <w:shd w:val="clear" w:color="auto" w:fill="auto"/>
            <w:vAlign w:val="center"/>
          </w:tcPr>
          <w:p w14:paraId="63082041" w14:textId="77777777" w:rsidR="00D60162" w:rsidRDefault="00D60162">
            <w:pPr>
              <w:rPr>
                <w:rFonts w:ascii="方正楷体_GBK" w:eastAsia="方正楷体_GBK" w:hAnsi="方正楷体_GBK" w:cs="方正楷体_GBK" w:hint="eastAsia"/>
                <w:sz w:val="20"/>
              </w:rPr>
            </w:pPr>
          </w:p>
        </w:tc>
        <w:tc>
          <w:tcPr>
            <w:tcW w:w="556" w:type="pct"/>
            <w:tcBorders>
              <w:top w:val="single" w:sz="4" w:space="0" w:color="000000"/>
              <w:left w:val="single" w:sz="4" w:space="0" w:color="000000"/>
              <w:bottom w:val="single" w:sz="4" w:space="0" w:color="000000"/>
              <w:right w:val="single" w:sz="4" w:space="0" w:color="000000"/>
            </w:tcBorders>
            <w:shd w:val="clear" w:color="auto" w:fill="auto"/>
            <w:vAlign w:val="center"/>
          </w:tcPr>
          <w:p w14:paraId="49CA3F9F" w14:textId="77777777" w:rsidR="00D60162" w:rsidRDefault="00000000">
            <w:pPr>
              <w:spacing w:line="400" w:lineRule="exact"/>
              <w:ind w:firstLine="0"/>
              <w:jc w:val="center"/>
              <w:rPr>
                <w:rFonts w:ascii="方正楷体_GBK" w:eastAsia="方正楷体_GBK" w:hAnsi="方正楷体_GBK" w:cs="方正楷体_GBK" w:hint="eastAsia"/>
                <w:kern w:val="2"/>
                <w:sz w:val="28"/>
                <w:lang w:bidi="ar"/>
              </w:rPr>
            </w:pPr>
            <w:r>
              <w:rPr>
                <w:rFonts w:ascii="方正楷体_GBK" w:eastAsia="方正楷体_GBK" w:hAnsi="方正楷体_GBK" w:cs="方正楷体_GBK" w:hint="eastAsia"/>
                <w:kern w:val="2"/>
                <w:sz w:val="28"/>
                <w:szCs w:val="28"/>
                <w:lang w:bidi="ar"/>
              </w:rPr>
              <w:t>成立城市更新工作专职机构</w:t>
            </w:r>
          </w:p>
        </w:tc>
        <w:tc>
          <w:tcPr>
            <w:tcW w:w="3579" w:type="pct"/>
            <w:tcBorders>
              <w:top w:val="single" w:sz="4" w:space="0" w:color="000000"/>
              <w:left w:val="single" w:sz="4" w:space="0" w:color="000000"/>
              <w:bottom w:val="single" w:sz="4" w:space="0" w:color="000000"/>
              <w:right w:val="single" w:sz="4" w:space="0" w:color="000000"/>
            </w:tcBorders>
            <w:shd w:val="clear" w:color="auto" w:fill="auto"/>
            <w:vAlign w:val="center"/>
          </w:tcPr>
          <w:p w14:paraId="6EF797B7" w14:textId="77777777" w:rsidR="00D60162" w:rsidRDefault="00000000">
            <w:pPr>
              <w:pStyle w:val="11"/>
              <w:widowControl/>
              <w:numPr>
                <w:ilvl w:val="255"/>
                <w:numId w:val="0"/>
              </w:numPr>
              <w:spacing w:line="400" w:lineRule="exact"/>
              <w:rPr>
                <w:rFonts w:ascii="Times New Roman" w:eastAsia="方正仿宋_GBK" w:hAnsi="Times New Roman"/>
                <w:b/>
                <w:bCs/>
                <w:sz w:val="28"/>
                <w:szCs w:val="28"/>
              </w:rPr>
            </w:pPr>
            <w:r>
              <w:rPr>
                <w:rFonts w:ascii="Times New Roman" w:eastAsia="方正仿宋_GBK" w:hAnsi="Times New Roman" w:hint="eastAsia"/>
                <w:b/>
                <w:bCs/>
                <w:sz w:val="28"/>
                <w:szCs w:val="28"/>
                <w:lang w:eastAsia="zh"/>
              </w:rPr>
              <w:t>3.</w:t>
            </w:r>
            <w:r>
              <w:rPr>
                <w:rFonts w:ascii="Times New Roman" w:eastAsia="方正仿宋_GBK" w:hAnsi="Times New Roman"/>
                <w:b/>
                <w:bCs/>
                <w:sz w:val="28"/>
                <w:szCs w:val="28"/>
              </w:rPr>
              <w:t>常州市</w:t>
            </w:r>
            <w:r>
              <w:rPr>
                <w:rFonts w:ascii="Times New Roman" w:eastAsia="方正仿宋_GBK" w:hAnsi="Times New Roman" w:hint="eastAsia"/>
                <w:b/>
                <w:bCs/>
                <w:sz w:val="28"/>
                <w:szCs w:val="28"/>
              </w:rPr>
              <w:t>钟楼区</w:t>
            </w:r>
            <w:r>
              <w:rPr>
                <w:rFonts w:ascii="Times New Roman" w:eastAsia="方正仿宋_GBK" w:hAnsi="Times New Roman"/>
                <w:b/>
                <w:bCs/>
                <w:sz w:val="28"/>
                <w:szCs w:val="28"/>
              </w:rPr>
              <w:t>建立城市更新推进管理中心。</w:t>
            </w:r>
            <w:r>
              <w:rPr>
                <w:rFonts w:ascii="Times New Roman" w:eastAsia="方正仿宋_GBK" w:hAnsi="Times New Roman"/>
                <w:sz w:val="28"/>
                <w:szCs w:val="28"/>
              </w:rPr>
              <w:t>钟楼区成立区政府下属的城市更新推进管理中心</w:t>
            </w:r>
            <w:r>
              <w:rPr>
                <w:rFonts w:ascii="Times New Roman" w:eastAsia="方正仿宋_GBK" w:hAnsi="Times New Roman" w:hint="eastAsia"/>
                <w:sz w:val="28"/>
                <w:szCs w:val="28"/>
              </w:rPr>
              <w:t>，为</w:t>
            </w:r>
            <w:r>
              <w:rPr>
                <w:rFonts w:ascii="Times New Roman" w:eastAsia="方正仿宋_GBK" w:hAnsi="Times New Roman"/>
                <w:sz w:val="28"/>
                <w:szCs w:val="28"/>
              </w:rPr>
              <w:t>市委编办同意</w:t>
            </w:r>
            <w:r>
              <w:rPr>
                <w:rFonts w:ascii="Times New Roman" w:eastAsia="方正仿宋_GBK" w:hAnsi="Times New Roman" w:hint="eastAsia"/>
                <w:sz w:val="28"/>
                <w:szCs w:val="28"/>
              </w:rPr>
              <w:t>的</w:t>
            </w:r>
            <w:r>
              <w:rPr>
                <w:rFonts w:ascii="Times New Roman" w:eastAsia="方正仿宋_GBK" w:hAnsi="Times New Roman"/>
                <w:sz w:val="28"/>
                <w:szCs w:val="28"/>
              </w:rPr>
              <w:t>全额拨款事业单位，</w:t>
            </w:r>
            <w:r>
              <w:rPr>
                <w:rFonts w:ascii="Times New Roman" w:eastAsia="方正仿宋_GBK" w:hAnsi="Times New Roman" w:hint="eastAsia"/>
                <w:sz w:val="28"/>
                <w:szCs w:val="28"/>
              </w:rPr>
              <w:t>负责</w:t>
            </w:r>
            <w:r>
              <w:rPr>
                <w:rFonts w:ascii="Times New Roman" w:eastAsia="方正仿宋_GBK" w:hAnsi="Times New Roman"/>
                <w:sz w:val="28"/>
                <w:szCs w:val="28"/>
              </w:rPr>
              <w:t>统筹全区城市更新工作，主要承担</w:t>
            </w:r>
            <w:r>
              <w:rPr>
                <w:rFonts w:ascii="Times New Roman" w:eastAsia="方正仿宋_GBK" w:hAnsi="Times New Roman" w:hint="eastAsia"/>
                <w:sz w:val="28"/>
                <w:szCs w:val="28"/>
              </w:rPr>
              <w:t>城市</w:t>
            </w:r>
            <w:r>
              <w:rPr>
                <w:rFonts w:ascii="Times New Roman" w:eastAsia="方正仿宋_GBK" w:hAnsi="Times New Roman"/>
                <w:sz w:val="28"/>
                <w:szCs w:val="28"/>
              </w:rPr>
              <w:t>更新专项规划组织编制、计划制定、项目跟踪管理、政策研究及技术指导等职责，以系统性思维推动项目实施。</w:t>
            </w:r>
          </w:p>
        </w:tc>
      </w:tr>
      <w:tr w:rsidR="00D60162" w14:paraId="32D36D54" w14:textId="77777777">
        <w:trPr>
          <w:trHeight w:val="2280"/>
          <w:jc w:val="center"/>
        </w:trPr>
        <w:tc>
          <w:tcPr>
            <w:tcW w:w="313" w:type="pct"/>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14:paraId="0CFE137B" w14:textId="77777777" w:rsidR="00D60162" w:rsidRDefault="00000000">
            <w:pPr>
              <w:spacing w:line="400" w:lineRule="exact"/>
              <w:ind w:firstLine="0"/>
              <w:jc w:val="center"/>
              <w:rPr>
                <w:rFonts w:ascii="方正楷体_GBK" w:eastAsia="方正楷体_GBK" w:hAnsi="方正楷体_GBK" w:cs="方正楷体_GBK" w:hint="eastAsia"/>
                <w:kern w:val="2"/>
                <w:sz w:val="28"/>
                <w:lang w:bidi="ar"/>
              </w:rPr>
            </w:pPr>
            <w:r>
              <w:rPr>
                <w:rFonts w:ascii="方正楷体_GBK" w:eastAsia="方正楷体_GBK" w:hAnsi="方正楷体_GBK" w:cs="方正楷体_GBK" w:hint="eastAsia"/>
                <w:kern w:val="2"/>
                <w:sz w:val="28"/>
                <w:szCs w:val="28"/>
                <w:lang w:bidi="ar"/>
              </w:rPr>
              <w:lastRenderedPageBreak/>
              <w:t>二</w:t>
            </w:r>
          </w:p>
        </w:tc>
        <w:tc>
          <w:tcPr>
            <w:tcW w:w="551" w:type="pct"/>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14:paraId="0A3E01BF" w14:textId="77777777" w:rsidR="00D60162" w:rsidRDefault="00000000">
            <w:pPr>
              <w:spacing w:line="400" w:lineRule="exact"/>
              <w:ind w:firstLine="0"/>
              <w:jc w:val="center"/>
              <w:rPr>
                <w:rFonts w:ascii="方正楷体_GBK" w:eastAsia="方正楷体_GBK" w:hAnsi="方正楷体_GBK" w:cs="方正楷体_GBK" w:hint="eastAsia"/>
                <w:kern w:val="2"/>
                <w:sz w:val="28"/>
                <w:lang w:bidi="ar"/>
              </w:rPr>
            </w:pPr>
            <w:r>
              <w:rPr>
                <w:rFonts w:ascii="方正楷体_GBK" w:eastAsia="方正楷体_GBK" w:hAnsi="方正楷体_GBK" w:cs="方正楷体_GBK" w:hint="eastAsia"/>
                <w:kern w:val="2"/>
                <w:sz w:val="28"/>
                <w:szCs w:val="28"/>
                <w:lang w:bidi="ar"/>
              </w:rPr>
              <w:t>建立城市更新可持续实施模式</w:t>
            </w:r>
          </w:p>
        </w:tc>
        <w:tc>
          <w:tcPr>
            <w:tcW w:w="556" w:type="pct"/>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14:paraId="07D5A860" w14:textId="77777777" w:rsidR="00D60162" w:rsidRDefault="00000000">
            <w:pPr>
              <w:spacing w:line="400" w:lineRule="exact"/>
              <w:ind w:firstLine="0"/>
              <w:jc w:val="center"/>
              <w:rPr>
                <w:rFonts w:ascii="方正楷体_GBK" w:eastAsia="方正楷体_GBK" w:hAnsi="方正楷体_GBK" w:cs="方正楷体_GBK" w:hint="eastAsia"/>
                <w:kern w:val="2"/>
                <w:sz w:val="28"/>
                <w:lang w:bidi="ar"/>
              </w:rPr>
            </w:pPr>
            <w:r>
              <w:rPr>
                <w:rFonts w:ascii="方正楷体_GBK" w:eastAsia="方正楷体_GBK" w:hAnsi="方正楷体_GBK" w:cs="方正楷体_GBK" w:hint="eastAsia"/>
                <w:kern w:val="2"/>
                <w:sz w:val="28"/>
                <w:szCs w:val="28"/>
                <w:lang w:bidi="ar"/>
              </w:rPr>
              <w:t>推动多元主体参与</w:t>
            </w:r>
          </w:p>
        </w:tc>
        <w:tc>
          <w:tcPr>
            <w:tcW w:w="3579" w:type="pct"/>
            <w:tcBorders>
              <w:top w:val="single" w:sz="4" w:space="0" w:color="000000"/>
              <w:left w:val="single" w:sz="4" w:space="0" w:color="000000"/>
              <w:bottom w:val="single" w:sz="4" w:space="0" w:color="000000"/>
              <w:right w:val="single" w:sz="4" w:space="0" w:color="000000"/>
            </w:tcBorders>
            <w:shd w:val="clear" w:color="auto" w:fill="auto"/>
            <w:vAlign w:val="center"/>
          </w:tcPr>
          <w:p w14:paraId="2AA90FE4" w14:textId="77777777" w:rsidR="00D60162" w:rsidRDefault="00000000">
            <w:pPr>
              <w:pStyle w:val="11"/>
              <w:widowControl/>
              <w:numPr>
                <w:ilvl w:val="255"/>
                <w:numId w:val="0"/>
              </w:numPr>
              <w:spacing w:line="400" w:lineRule="exact"/>
              <w:rPr>
                <w:rFonts w:ascii="Times New Roman" w:eastAsia="方正仿宋_GBK" w:hAnsi="Times New Roman"/>
                <w:sz w:val="28"/>
                <w:szCs w:val="28"/>
              </w:rPr>
            </w:pPr>
            <w:r>
              <w:rPr>
                <w:rFonts w:ascii="Times New Roman" w:eastAsia="方正仿宋_GBK" w:hAnsi="Times New Roman" w:hint="eastAsia"/>
                <w:b/>
                <w:bCs/>
                <w:sz w:val="28"/>
                <w:szCs w:val="28"/>
                <w:lang w:eastAsia="zh"/>
              </w:rPr>
              <w:t>4.</w:t>
            </w:r>
            <w:r>
              <w:rPr>
                <w:rFonts w:ascii="Times New Roman" w:eastAsia="方正仿宋_GBK" w:hAnsi="Times New Roman"/>
                <w:b/>
                <w:bCs/>
                <w:sz w:val="28"/>
                <w:szCs w:val="28"/>
              </w:rPr>
              <w:t>南京市完善社会主体参与城市更新机制。</w:t>
            </w:r>
            <w:r>
              <w:rPr>
                <w:rFonts w:ascii="Times New Roman" w:eastAsia="方正仿宋_GBK" w:hAnsi="Times New Roman"/>
                <w:sz w:val="28"/>
                <w:szCs w:val="28"/>
              </w:rPr>
              <w:t>印发《南京市城市更新实施主体管理工作细则》，明确实施主体类型、管理方式、工作职责和权益。区级层面相应配套《南京市鼓楼区遴选社会资本参与城市更新项目实施方案（试行）》《关于物业权利人代表申报作为实施主体阶段提交材料的通知》等实操性文件，为意向实施主体参与城市更新明确了路径和要求。</w:t>
            </w:r>
          </w:p>
        </w:tc>
      </w:tr>
      <w:tr w:rsidR="00D60162" w14:paraId="5F63AB1D" w14:textId="77777777">
        <w:trPr>
          <w:trHeight w:val="2606"/>
          <w:jc w:val="center"/>
        </w:trPr>
        <w:tc>
          <w:tcPr>
            <w:tcW w:w="313" w:type="pct"/>
            <w:vMerge/>
            <w:tcBorders>
              <w:top w:val="single" w:sz="4" w:space="0" w:color="000000"/>
              <w:left w:val="single" w:sz="4" w:space="0" w:color="000000"/>
              <w:bottom w:val="single" w:sz="4" w:space="0" w:color="000000"/>
              <w:right w:val="single" w:sz="4" w:space="0" w:color="000000"/>
            </w:tcBorders>
            <w:shd w:val="clear" w:color="auto" w:fill="auto"/>
            <w:vAlign w:val="center"/>
          </w:tcPr>
          <w:p w14:paraId="7415FEA3" w14:textId="77777777" w:rsidR="00D60162" w:rsidRDefault="00D60162">
            <w:pPr>
              <w:rPr>
                <w:rFonts w:ascii="方正楷体_GBK" w:eastAsia="方正楷体_GBK" w:hAnsi="方正楷体_GBK" w:cs="方正楷体_GBK" w:hint="eastAsia"/>
                <w:sz w:val="20"/>
              </w:rPr>
            </w:pPr>
          </w:p>
        </w:tc>
        <w:tc>
          <w:tcPr>
            <w:tcW w:w="551" w:type="pct"/>
            <w:vMerge/>
            <w:tcBorders>
              <w:top w:val="single" w:sz="4" w:space="0" w:color="000000"/>
              <w:left w:val="single" w:sz="4" w:space="0" w:color="000000"/>
              <w:bottom w:val="single" w:sz="4" w:space="0" w:color="000000"/>
              <w:right w:val="single" w:sz="4" w:space="0" w:color="000000"/>
            </w:tcBorders>
            <w:shd w:val="clear" w:color="auto" w:fill="auto"/>
            <w:vAlign w:val="center"/>
          </w:tcPr>
          <w:p w14:paraId="0AD6AC3A" w14:textId="77777777" w:rsidR="00D60162" w:rsidRDefault="00D60162">
            <w:pPr>
              <w:rPr>
                <w:rFonts w:ascii="方正楷体_GBK" w:eastAsia="方正楷体_GBK" w:hAnsi="方正楷体_GBK" w:cs="方正楷体_GBK" w:hint="eastAsia"/>
                <w:sz w:val="20"/>
              </w:rPr>
            </w:pPr>
          </w:p>
        </w:tc>
        <w:tc>
          <w:tcPr>
            <w:tcW w:w="55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14:paraId="6899EE08" w14:textId="77777777" w:rsidR="00D60162" w:rsidRDefault="00D60162">
            <w:pPr>
              <w:rPr>
                <w:rFonts w:ascii="方正楷体_GBK" w:eastAsia="方正楷体_GBK" w:hAnsi="方正楷体_GBK" w:cs="方正楷体_GBK" w:hint="eastAsia"/>
                <w:sz w:val="20"/>
              </w:rPr>
            </w:pPr>
          </w:p>
        </w:tc>
        <w:tc>
          <w:tcPr>
            <w:tcW w:w="3579" w:type="pct"/>
            <w:tcBorders>
              <w:top w:val="single" w:sz="4" w:space="0" w:color="000000"/>
              <w:left w:val="single" w:sz="4" w:space="0" w:color="000000"/>
              <w:bottom w:val="single" w:sz="4" w:space="0" w:color="000000"/>
              <w:right w:val="single" w:sz="4" w:space="0" w:color="000000"/>
            </w:tcBorders>
            <w:shd w:val="clear" w:color="auto" w:fill="auto"/>
            <w:vAlign w:val="center"/>
          </w:tcPr>
          <w:p w14:paraId="744D9540" w14:textId="77777777" w:rsidR="00D60162" w:rsidRDefault="00000000">
            <w:pPr>
              <w:pStyle w:val="11"/>
              <w:widowControl/>
              <w:numPr>
                <w:ilvl w:val="255"/>
                <w:numId w:val="0"/>
              </w:numPr>
              <w:spacing w:line="400" w:lineRule="exact"/>
              <w:rPr>
                <w:rFonts w:ascii="Times New Roman" w:eastAsia="方正仿宋_GBK" w:hAnsi="Times New Roman"/>
                <w:b/>
                <w:bCs/>
                <w:sz w:val="28"/>
                <w:szCs w:val="28"/>
              </w:rPr>
            </w:pPr>
            <w:r>
              <w:rPr>
                <w:rFonts w:ascii="Times New Roman" w:eastAsia="方正仿宋_GBK" w:hAnsi="Times New Roman" w:hint="eastAsia"/>
                <w:b/>
                <w:bCs/>
                <w:sz w:val="28"/>
                <w:szCs w:val="28"/>
                <w:lang w:eastAsia="zh"/>
              </w:rPr>
              <w:t>5.</w:t>
            </w:r>
            <w:r>
              <w:rPr>
                <w:rFonts w:ascii="Times New Roman" w:eastAsia="方正仿宋_GBK" w:hAnsi="Times New Roman"/>
                <w:b/>
                <w:bCs/>
                <w:sz w:val="28"/>
                <w:szCs w:val="28"/>
              </w:rPr>
              <w:t>苏州市十全</w:t>
            </w:r>
            <w:proofErr w:type="gramStart"/>
            <w:r>
              <w:rPr>
                <w:rFonts w:ascii="Times New Roman" w:eastAsia="方正仿宋_GBK" w:hAnsi="Times New Roman"/>
                <w:b/>
                <w:bCs/>
                <w:sz w:val="28"/>
                <w:szCs w:val="28"/>
              </w:rPr>
              <w:t>街</w:t>
            </w:r>
            <w:r>
              <w:rPr>
                <w:rFonts w:ascii="Times New Roman" w:eastAsia="方正仿宋_GBK" w:hAnsi="Times New Roman" w:hint="eastAsia"/>
                <w:b/>
                <w:bCs/>
                <w:sz w:val="28"/>
                <w:szCs w:val="28"/>
              </w:rPr>
              <w:t>项目</w:t>
            </w:r>
            <w:proofErr w:type="gramEnd"/>
            <w:r>
              <w:rPr>
                <w:rFonts w:ascii="Times New Roman" w:eastAsia="方正仿宋_GBK" w:hAnsi="Times New Roman" w:hint="eastAsia"/>
                <w:b/>
                <w:bCs/>
                <w:sz w:val="28"/>
                <w:szCs w:val="28"/>
              </w:rPr>
              <w:t>共建共治推动街区更新长效共享</w:t>
            </w:r>
            <w:r>
              <w:rPr>
                <w:rFonts w:ascii="Times New Roman" w:eastAsia="方正仿宋_GBK" w:hAnsi="Times New Roman"/>
                <w:b/>
                <w:bCs/>
                <w:sz w:val="28"/>
                <w:szCs w:val="28"/>
              </w:rPr>
              <w:t>。</w:t>
            </w:r>
            <w:r>
              <w:rPr>
                <w:rFonts w:ascii="Times New Roman" w:eastAsia="方正仿宋_GBK" w:hAnsi="Times New Roman"/>
                <w:sz w:val="28"/>
                <w:szCs w:val="28"/>
              </w:rPr>
              <w:t>十全街片区创新推行</w:t>
            </w:r>
            <w:r>
              <w:rPr>
                <w:rFonts w:ascii="Times New Roman" w:eastAsia="方正仿宋_GBK" w:hAnsi="Times New Roman"/>
                <w:sz w:val="28"/>
                <w:szCs w:val="28"/>
              </w:rPr>
              <w:t>“</w:t>
            </w:r>
            <w:r>
              <w:rPr>
                <w:rFonts w:ascii="Times New Roman" w:eastAsia="方正仿宋_GBK" w:hAnsi="Times New Roman"/>
                <w:sz w:val="28"/>
                <w:szCs w:val="28"/>
              </w:rPr>
              <w:t>共同缔</w:t>
            </w:r>
            <w:r>
              <w:rPr>
                <w:rFonts w:ascii="Times New Roman" w:eastAsia="方正仿宋_GBK" w:hAnsi="Times New Roman" w:hint="eastAsia"/>
                <w:sz w:val="28"/>
                <w:szCs w:val="28"/>
              </w:rPr>
              <w:t>造”</w:t>
            </w:r>
            <w:r>
              <w:rPr>
                <w:rFonts w:ascii="Times New Roman" w:eastAsia="方正仿宋_GBK" w:hAnsi="Times New Roman"/>
                <w:sz w:val="28"/>
                <w:szCs w:val="28"/>
              </w:rPr>
              <w:t>模式</w:t>
            </w:r>
            <w:r>
              <w:rPr>
                <w:rFonts w:ascii="Times New Roman" w:eastAsia="方正仿宋_GBK" w:hAnsi="Times New Roman" w:hint="eastAsia"/>
                <w:sz w:val="28"/>
                <w:szCs w:val="28"/>
              </w:rPr>
              <w:t>，</w:t>
            </w:r>
            <w:r>
              <w:rPr>
                <w:rFonts w:ascii="Times New Roman" w:eastAsia="方正仿宋_GBK" w:hAnsi="Times New Roman"/>
                <w:sz w:val="28"/>
                <w:szCs w:val="28"/>
              </w:rPr>
              <w:t>通过深化参与式治理，激发商户居民主人翁意识，落实门前三包、绿化认养等；弹性引导街道风貌，</w:t>
            </w:r>
            <w:proofErr w:type="gramStart"/>
            <w:r>
              <w:rPr>
                <w:rFonts w:ascii="Times New Roman" w:eastAsia="方正仿宋_GBK" w:hAnsi="Times New Roman"/>
                <w:sz w:val="28"/>
                <w:szCs w:val="28"/>
              </w:rPr>
              <w:t>组织商铺亮</w:t>
            </w:r>
            <w:proofErr w:type="gramEnd"/>
            <w:r>
              <w:rPr>
                <w:rFonts w:ascii="Times New Roman" w:eastAsia="方正仿宋_GBK" w:hAnsi="Times New Roman"/>
                <w:sz w:val="28"/>
                <w:szCs w:val="28"/>
              </w:rPr>
              <w:t>化及橱窗店招创意活动，鼓励个性化发展；举办特色文化快闪及苏超夜市等活动，融合历史文化和现代消费，有效带动新商户入驻、营收增长，盘活社会闲置资产。带动</w:t>
            </w:r>
            <w:r>
              <w:rPr>
                <w:rFonts w:ascii="Times New Roman" w:eastAsia="方正仿宋_GBK" w:hAnsi="Times New Roman"/>
                <w:sz w:val="28"/>
                <w:szCs w:val="28"/>
              </w:rPr>
              <w:t>120</w:t>
            </w:r>
            <w:r>
              <w:rPr>
                <w:rFonts w:ascii="Times New Roman" w:eastAsia="方正仿宋_GBK" w:hAnsi="Times New Roman"/>
                <w:sz w:val="28"/>
                <w:szCs w:val="28"/>
              </w:rPr>
              <w:t>余家新商户入驻，特色商户营收提升</w:t>
            </w:r>
            <w:r>
              <w:rPr>
                <w:rFonts w:ascii="Times New Roman" w:eastAsia="方正仿宋_GBK" w:hAnsi="Times New Roman"/>
                <w:sz w:val="28"/>
                <w:szCs w:val="28"/>
              </w:rPr>
              <w:t>50%</w:t>
            </w:r>
            <w:r>
              <w:rPr>
                <w:rFonts w:ascii="Times New Roman" w:eastAsia="方正仿宋_GBK" w:hAnsi="Times New Roman"/>
                <w:sz w:val="28"/>
                <w:szCs w:val="28"/>
              </w:rPr>
              <w:t>，激发沿街约</w:t>
            </w:r>
            <w:r>
              <w:rPr>
                <w:rFonts w:ascii="Times New Roman" w:eastAsia="方正仿宋_GBK" w:hAnsi="Times New Roman"/>
                <w:sz w:val="28"/>
                <w:szCs w:val="28"/>
              </w:rPr>
              <w:t>10%</w:t>
            </w:r>
            <w:r>
              <w:rPr>
                <w:rFonts w:ascii="Times New Roman" w:eastAsia="方正仿宋_GBK" w:hAnsi="Times New Roman"/>
                <w:sz w:val="28"/>
                <w:szCs w:val="28"/>
              </w:rPr>
              <w:t>的店铺自发改造升级。</w:t>
            </w:r>
          </w:p>
        </w:tc>
      </w:tr>
      <w:tr w:rsidR="00D60162" w14:paraId="6A813A6A" w14:textId="77777777">
        <w:trPr>
          <w:trHeight w:val="2606"/>
          <w:jc w:val="center"/>
        </w:trPr>
        <w:tc>
          <w:tcPr>
            <w:tcW w:w="313" w:type="pct"/>
            <w:vMerge/>
            <w:tcBorders>
              <w:top w:val="single" w:sz="4" w:space="0" w:color="000000"/>
              <w:left w:val="single" w:sz="4" w:space="0" w:color="000000"/>
              <w:bottom w:val="single" w:sz="4" w:space="0" w:color="000000"/>
              <w:right w:val="single" w:sz="4" w:space="0" w:color="000000"/>
            </w:tcBorders>
            <w:shd w:val="clear" w:color="auto" w:fill="auto"/>
            <w:vAlign w:val="center"/>
          </w:tcPr>
          <w:p w14:paraId="0DA862E9" w14:textId="77777777" w:rsidR="00D60162" w:rsidRDefault="00D60162">
            <w:pPr>
              <w:rPr>
                <w:rFonts w:ascii="方正楷体_GBK" w:eastAsia="方正楷体_GBK" w:hAnsi="方正楷体_GBK" w:cs="方正楷体_GBK" w:hint="eastAsia"/>
                <w:sz w:val="20"/>
              </w:rPr>
            </w:pPr>
          </w:p>
        </w:tc>
        <w:tc>
          <w:tcPr>
            <w:tcW w:w="551" w:type="pct"/>
            <w:vMerge/>
            <w:tcBorders>
              <w:top w:val="single" w:sz="4" w:space="0" w:color="000000"/>
              <w:left w:val="single" w:sz="4" w:space="0" w:color="000000"/>
              <w:bottom w:val="single" w:sz="4" w:space="0" w:color="000000"/>
              <w:right w:val="single" w:sz="4" w:space="0" w:color="000000"/>
            </w:tcBorders>
            <w:shd w:val="clear" w:color="auto" w:fill="auto"/>
            <w:vAlign w:val="center"/>
          </w:tcPr>
          <w:p w14:paraId="0FE7434A" w14:textId="77777777" w:rsidR="00D60162" w:rsidRDefault="00D60162">
            <w:pPr>
              <w:rPr>
                <w:rFonts w:ascii="方正楷体_GBK" w:eastAsia="方正楷体_GBK" w:hAnsi="方正楷体_GBK" w:cs="方正楷体_GBK" w:hint="eastAsia"/>
                <w:sz w:val="20"/>
              </w:rPr>
            </w:pPr>
          </w:p>
        </w:tc>
        <w:tc>
          <w:tcPr>
            <w:tcW w:w="55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14:paraId="360D1BAA" w14:textId="77777777" w:rsidR="00D60162" w:rsidRDefault="00D60162">
            <w:pPr>
              <w:rPr>
                <w:rFonts w:ascii="方正楷体_GBK" w:eastAsia="方正楷体_GBK" w:hAnsi="方正楷体_GBK" w:cs="方正楷体_GBK" w:hint="eastAsia"/>
                <w:sz w:val="20"/>
              </w:rPr>
            </w:pPr>
          </w:p>
        </w:tc>
        <w:tc>
          <w:tcPr>
            <w:tcW w:w="3579" w:type="pct"/>
            <w:tcBorders>
              <w:top w:val="single" w:sz="4" w:space="0" w:color="000000"/>
              <w:left w:val="single" w:sz="4" w:space="0" w:color="000000"/>
              <w:bottom w:val="single" w:sz="4" w:space="0" w:color="000000"/>
              <w:right w:val="single" w:sz="4" w:space="0" w:color="000000"/>
            </w:tcBorders>
            <w:shd w:val="clear" w:color="auto" w:fill="auto"/>
            <w:vAlign w:val="center"/>
          </w:tcPr>
          <w:p w14:paraId="2FEB21EC" w14:textId="77777777" w:rsidR="00D60162" w:rsidRDefault="00000000">
            <w:pPr>
              <w:pStyle w:val="11"/>
              <w:widowControl/>
              <w:numPr>
                <w:ilvl w:val="255"/>
                <w:numId w:val="0"/>
              </w:numPr>
              <w:spacing w:line="400" w:lineRule="exact"/>
              <w:rPr>
                <w:rFonts w:ascii="Times New Roman" w:eastAsia="方正仿宋_GBK" w:hAnsi="Times New Roman"/>
                <w:b/>
                <w:bCs/>
                <w:sz w:val="28"/>
                <w:szCs w:val="28"/>
              </w:rPr>
            </w:pPr>
            <w:r>
              <w:rPr>
                <w:rFonts w:ascii="Times New Roman" w:eastAsia="方正仿宋_GBK" w:hAnsi="Times New Roman" w:hint="eastAsia"/>
                <w:b/>
                <w:bCs/>
                <w:sz w:val="28"/>
                <w:szCs w:val="28"/>
                <w:lang w:eastAsia="zh"/>
              </w:rPr>
              <w:t>6.</w:t>
            </w:r>
            <w:r>
              <w:rPr>
                <w:rFonts w:ascii="Times New Roman" w:eastAsia="方正仿宋_GBK" w:hAnsi="Times New Roman"/>
                <w:b/>
                <w:bCs/>
                <w:sz w:val="28"/>
                <w:szCs w:val="28"/>
              </w:rPr>
              <w:t>连云港市连云老街</w:t>
            </w:r>
            <w:r>
              <w:rPr>
                <w:rFonts w:ascii="Times New Roman" w:eastAsia="方正仿宋_GBK" w:hAnsi="Times New Roman" w:hint="eastAsia"/>
                <w:b/>
                <w:bCs/>
                <w:sz w:val="28"/>
                <w:szCs w:val="28"/>
              </w:rPr>
              <w:t>探索</w:t>
            </w:r>
            <w:r>
              <w:rPr>
                <w:rFonts w:ascii="Times New Roman" w:eastAsia="方正仿宋_GBK" w:hAnsi="Times New Roman"/>
                <w:b/>
                <w:bCs/>
                <w:sz w:val="28"/>
                <w:szCs w:val="28"/>
              </w:rPr>
              <w:t>政府</w:t>
            </w:r>
            <w:r>
              <w:rPr>
                <w:rFonts w:ascii="Times New Roman" w:eastAsia="方正仿宋_GBK" w:hAnsi="Times New Roman" w:hint="eastAsia"/>
                <w:b/>
                <w:bCs/>
                <w:sz w:val="28"/>
                <w:szCs w:val="28"/>
              </w:rPr>
              <w:t>改造、国企统筹、市场运营的</w:t>
            </w:r>
            <w:r>
              <w:rPr>
                <w:rFonts w:ascii="Times New Roman" w:eastAsia="方正仿宋_GBK" w:hAnsi="Times New Roman"/>
                <w:b/>
                <w:bCs/>
                <w:sz w:val="28"/>
                <w:szCs w:val="28"/>
              </w:rPr>
              <w:t>实施模式。</w:t>
            </w:r>
            <w:r>
              <w:rPr>
                <w:rFonts w:ascii="Times New Roman" w:eastAsia="方正仿宋_GBK" w:hAnsi="Times New Roman"/>
                <w:sz w:val="28"/>
                <w:szCs w:val="28"/>
              </w:rPr>
              <w:t>连云老街保护更新项目中，结合老旧小区改造、市政设施改造、文保单位修缮、历史文化街区建设等工程，由政府出资改造上海大旅社、</w:t>
            </w:r>
            <w:r>
              <w:rPr>
                <w:rFonts w:ascii="Times New Roman" w:eastAsia="方正仿宋_GBK" w:hAnsi="Times New Roman" w:hint="eastAsia"/>
                <w:sz w:val="28"/>
                <w:szCs w:val="28"/>
              </w:rPr>
              <w:t>朱氏民居</w:t>
            </w:r>
            <w:r>
              <w:rPr>
                <w:rFonts w:ascii="Times New Roman" w:eastAsia="方正仿宋_GBK" w:hAnsi="Times New Roman"/>
                <w:sz w:val="28"/>
                <w:szCs w:val="28"/>
              </w:rPr>
              <w:t>、老街菜场等关键节点和市政设施等，改造完成后由区级国企统筹推进街区整体</w:t>
            </w:r>
            <w:r>
              <w:rPr>
                <w:rFonts w:ascii="Times New Roman" w:eastAsia="方正仿宋_GBK" w:hAnsi="Times New Roman" w:hint="eastAsia"/>
                <w:sz w:val="28"/>
                <w:szCs w:val="28"/>
              </w:rPr>
              <w:t>招引和</w:t>
            </w:r>
            <w:r>
              <w:rPr>
                <w:rFonts w:ascii="Times New Roman" w:eastAsia="方正仿宋_GBK" w:hAnsi="Times New Roman"/>
                <w:sz w:val="28"/>
                <w:szCs w:val="28"/>
              </w:rPr>
              <w:t>运营，对</w:t>
            </w:r>
            <w:r>
              <w:rPr>
                <w:rFonts w:ascii="Times New Roman" w:eastAsia="方正仿宋_GBK" w:hAnsi="Times New Roman" w:hint="eastAsia"/>
                <w:sz w:val="28"/>
                <w:szCs w:val="28"/>
              </w:rPr>
              <w:t>部分</w:t>
            </w:r>
            <w:r>
              <w:rPr>
                <w:rFonts w:ascii="Times New Roman" w:eastAsia="方正仿宋_GBK" w:hAnsi="Times New Roman"/>
                <w:sz w:val="28"/>
                <w:szCs w:val="28"/>
              </w:rPr>
              <w:t>闲置房屋建筑引入企业、主理人等出资改造为民宿酒店、文化</w:t>
            </w:r>
            <w:proofErr w:type="gramStart"/>
            <w:r>
              <w:rPr>
                <w:rFonts w:ascii="Times New Roman" w:eastAsia="方正仿宋_GBK" w:hAnsi="Times New Roman"/>
                <w:sz w:val="28"/>
                <w:szCs w:val="28"/>
              </w:rPr>
              <w:t>创意园</w:t>
            </w:r>
            <w:proofErr w:type="gramEnd"/>
            <w:r>
              <w:rPr>
                <w:rFonts w:ascii="Times New Roman" w:eastAsia="方正仿宋_GBK" w:hAnsi="Times New Roman"/>
                <w:sz w:val="28"/>
                <w:szCs w:val="28"/>
              </w:rPr>
              <w:t>等，已培育</w:t>
            </w:r>
            <w:r>
              <w:rPr>
                <w:rFonts w:ascii="Times New Roman" w:eastAsia="方正仿宋_GBK" w:hAnsi="Times New Roman" w:hint="eastAsia"/>
                <w:sz w:val="28"/>
                <w:szCs w:val="28"/>
              </w:rPr>
              <w:t>新</w:t>
            </w:r>
            <w:r>
              <w:rPr>
                <w:rFonts w:ascii="Times New Roman" w:eastAsia="方正仿宋_GBK" w:hAnsi="Times New Roman"/>
                <w:sz w:val="28"/>
                <w:szCs w:val="28"/>
              </w:rPr>
              <w:t>业</w:t>
            </w:r>
            <w:proofErr w:type="gramStart"/>
            <w:r>
              <w:rPr>
                <w:rFonts w:ascii="Times New Roman" w:eastAsia="方正仿宋_GBK" w:hAnsi="Times New Roman"/>
                <w:sz w:val="28"/>
                <w:szCs w:val="28"/>
              </w:rPr>
              <w:t>态项目</w:t>
            </w:r>
            <w:proofErr w:type="gramEnd"/>
            <w:r>
              <w:rPr>
                <w:rFonts w:ascii="Times New Roman" w:eastAsia="方正仿宋_GBK" w:hAnsi="Times New Roman"/>
                <w:sz w:val="28"/>
                <w:szCs w:val="28"/>
              </w:rPr>
              <w:t>20</w:t>
            </w:r>
            <w:r>
              <w:rPr>
                <w:rFonts w:ascii="Times New Roman" w:eastAsia="方正仿宋_GBK" w:hAnsi="Times New Roman"/>
                <w:sz w:val="28"/>
                <w:szCs w:val="28"/>
              </w:rPr>
              <w:t>余个，盘活闲置资产</w:t>
            </w:r>
            <w:r>
              <w:rPr>
                <w:rFonts w:ascii="Times New Roman" w:eastAsia="方正仿宋_GBK" w:hAnsi="Times New Roman"/>
                <w:sz w:val="28"/>
                <w:szCs w:val="28"/>
              </w:rPr>
              <w:t>1.1</w:t>
            </w:r>
            <w:r>
              <w:rPr>
                <w:rFonts w:ascii="Times New Roman" w:eastAsia="方正仿宋_GBK" w:hAnsi="Times New Roman"/>
                <w:sz w:val="28"/>
                <w:szCs w:val="28"/>
              </w:rPr>
              <w:t>万平方米。</w:t>
            </w:r>
          </w:p>
        </w:tc>
      </w:tr>
      <w:tr w:rsidR="00D60162" w14:paraId="65EE61AF" w14:textId="77777777">
        <w:trPr>
          <w:trHeight w:val="2940"/>
          <w:jc w:val="center"/>
        </w:trPr>
        <w:tc>
          <w:tcPr>
            <w:tcW w:w="313" w:type="pct"/>
            <w:vMerge/>
            <w:tcBorders>
              <w:top w:val="single" w:sz="4" w:space="0" w:color="000000"/>
              <w:left w:val="single" w:sz="4" w:space="0" w:color="000000"/>
              <w:bottom w:val="single" w:sz="4" w:space="0" w:color="000000"/>
              <w:right w:val="single" w:sz="4" w:space="0" w:color="000000"/>
            </w:tcBorders>
            <w:shd w:val="clear" w:color="auto" w:fill="auto"/>
            <w:vAlign w:val="center"/>
          </w:tcPr>
          <w:p w14:paraId="7AAAF2FC" w14:textId="77777777" w:rsidR="00D60162" w:rsidRDefault="00D60162">
            <w:pPr>
              <w:rPr>
                <w:rFonts w:ascii="方正楷体_GBK" w:eastAsia="方正楷体_GBK" w:hAnsi="方正楷体_GBK" w:cs="方正楷体_GBK" w:hint="eastAsia"/>
                <w:sz w:val="20"/>
              </w:rPr>
            </w:pPr>
          </w:p>
        </w:tc>
        <w:tc>
          <w:tcPr>
            <w:tcW w:w="551" w:type="pct"/>
            <w:vMerge/>
            <w:tcBorders>
              <w:top w:val="single" w:sz="4" w:space="0" w:color="000000"/>
              <w:left w:val="single" w:sz="4" w:space="0" w:color="000000"/>
              <w:bottom w:val="single" w:sz="4" w:space="0" w:color="000000"/>
              <w:right w:val="single" w:sz="4" w:space="0" w:color="000000"/>
            </w:tcBorders>
            <w:shd w:val="clear" w:color="auto" w:fill="auto"/>
            <w:vAlign w:val="center"/>
          </w:tcPr>
          <w:p w14:paraId="0B389EC4" w14:textId="77777777" w:rsidR="00D60162" w:rsidRDefault="00D60162">
            <w:pPr>
              <w:rPr>
                <w:rFonts w:ascii="方正楷体_GBK" w:eastAsia="方正楷体_GBK" w:hAnsi="方正楷体_GBK" w:cs="方正楷体_GBK" w:hint="eastAsia"/>
                <w:sz w:val="20"/>
              </w:rPr>
            </w:pPr>
          </w:p>
        </w:tc>
        <w:tc>
          <w:tcPr>
            <w:tcW w:w="556" w:type="pct"/>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14:paraId="162F8A5D" w14:textId="77777777" w:rsidR="00D60162" w:rsidRDefault="00000000">
            <w:pPr>
              <w:spacing w:line="400" w:lineRule="exact"/>
              <w:ind w:firstLine="0"/>
              <w:jc w:val="center"/>
              <w:rPr>
                <w:rFonts w:ascii="方正楷体_GBK" w:eastAsia="方正楷体_GBK" w:hAnsi="方正楷体_GBK" w:cs="方正楷体_GBK" w:hint="eastAsia"/>
                <w:kern w:val="2"/>
                <w:sz w:val="28"/>
              </w:rPr>
            </w:pPr>
            <w:r>
              <w:rPr>
                <w:rFonts w:ascii="方正楷体_GBK" w:eastAsia="方正楷体_GBK" w:hAnsi="方正楷体_GBK" w:cs="方正楷体_GBK" w:hint="eastAsia"/>
                <w:kern w:val="2"/>
                <w:sz w:val="28"/>
                <w:szCs w:val="28"/>
                <w:lang w:bidi="ar"/>
              </w:rPr>
              <w:t>拓展多元资金渠道</w:t>
            </w:r>
          </w:p>
        </w:tc>
        <w:tc>
          <w:tcPr>
            <w:tcW w:w="3579" w:type="pct"/>
            <w:tcBorders>
              <w:top w:val="single" w:sz="4" w:space="0" w:color="000000"/>
              <w:left w:val="single" w:sz="4" w:space="0" w:color="000000"/>
              <w:bottom w:val="single" w:sz="4" w:space="0" w:color="000000"/>
              <w:right w:val="single" w:sz="4" w:space="0" w:color="000000"/>
            </w:tcBorders>
            <w:shd w:val="clear" w:color="auto" w:fill="auto"/>
            <w:vAlign w:val="center"/>
          </w:tcPr>
          <w:p w14:paraId="38DBDE5D" w14:textId="77777777" w:rsidR="00D60162" w:rsidRDefault="00000000">
            <w:pPr>
              <w:pStyle w:val="11"/>
              <w:widowControl/>
              <w:numPr>
                <w:ilvl w:val="255"/>
                <w:numId w:val="0"/>
              </w:numPr>
              <w:spacing w:line="400" w:lineRule="exact"/>
              <w:rPr>
                <w:rFonts w:ascii="Times New Roman" w:eastAsia="方正仿宋_GBK" w:hAnsi="Times New Roman"/>
                <w:b/>
                <w:bCs/>
                <w:sz w:val="28"/>
                <w:szCs w:val="28"/>
              </w:rPr>
            </w:pPr>
            <w:r>
              <w:rPr>
                <w:rFonts w:ascii="Times New Roman" w:eastAsia="方正仿宋_GBK" w:hAnsi="Times New Roman" w:hint="eastAsia"/>
                <w:b/>
                <w:bCs/>
                <w:sz w:val="28"/>
                <w:szCs w:val="28"/>
                <w:lang w:eastAsia="zh"/>
              </w:rPr>
              <w:t>7.</w:t>
            </w:r>
            <w:r>
              <w:rPr>
                <w:rFonts w:ascii="Times New Roman" w:eastAsia="方正仿宋_GBK" w:hAnsi="Times New Roman"/>
                <w:b/>
                <w:bCs/>
                <w:sz w:val="28"/>
                <w:szCs w:val="28"/>
              </w:rPr>
              <w:t>扬州市</w:t>
            </w:r>
            <w:proofErr w:type="gramStart"/>
            <w:r>
              <w:rPr>
                <w:rFonts w:ascii="Times New Roman" w:eastAsia="方正仿宋_GBK" w:hAnsi="Times New Roman"/>
                <w:b/>
                <w:bCs/>
                <w:sz w:val="28"/>
                <w:szCs w:val="28"/>
              </w:rPr>
              <w:t>构建专项</w:t>
            </w:r>
            <w:proofErr w:type="gramEnd"/>
            <w:r>
              <w:rPr>
                <w:rFonts w:ascii="Times New Roman" w:eastAsia="方正仿宋_GBK" w:hAnsi="Times New Roman"/>
                <w:b/>
                <w:bCs/>
                <w:sz w:val="28"/>
                <w:szCs w:val="28"/>
              </w:rPr>
              <w:t>基金</w:t>
            </w:r>
            <w:r>
              <w:rPr>
                <w:rFonts w:ascii="Times New Roman" w:eastAsia="方正仿宋_GBK" w:hAnsi="Times New Roman"/>
                <w:b/>
                <w:bCs/>
                <w:sz w:val="28"/>
                <w:szCs w:val="28"/>
              </w:rPr>
              <w:t>+</w:t>
            </w:r>
            <w:r>
              <w:rPr>
                <w:rFonts w:ascii="Times New Roman" w:eastAsia="方正仿宋_GBK" w:hAnsi="Times New Roman"/>
                <w:b/>
                <w:bCs/>
                <w:sz w:val="28"/>
                <w:szCs w:val="28"/>
              </w:rPr>
              <w:t>长期贷款</w:t>
            </w:r>
            <w:r>
              <w:rPr>
                <w:rFonts w:ascii="Times New Roman" w:eastAsia="方正仿宋_GBK" w:hAnsi="Times New Roman"/>
                <w:b/>
                <w:bCs/>
                <w:sz w:val="28"/>
                <w:szCs w:val="28"/>
              </w:rPr>
              <w:t>+</w:t>
            </w:r>
            <w:r>
              <w:rPr>
                <w:rFonts w:ascii="Times New Roman" w:eastAsia="方正仿宋_GBK" w:hAnsi="Times New Roman"/>
                <w:b/>
                <w:bCs/>
                <w:sz w:val="28"/>
                <w:szCs w:val="28"/>
              </w:rPr>
              <w:t>社会资本的多元融资渠道。</w:t>
            </w:r>
            <w:r>
              <w:rPr>
                <w:rFonts w:ascii="Times New Roman" w:eastAsia="方正仿宋_GBK" w:hAnsi="Times New Roman"/>
                <w:sz w:val="28"/>
                <w:szCs w:val="28"/>
              </w:rPr>
              <w:t>联合省大运河基金、广陵区、蜀冈</w:t>
            </w:r>
            <w:r>
              <w:rPr>
                <w:rFonts w:ascii="Times New Roman" w:eastAsia="方正仿宋_GBK" w:hAnsi="Times New Roman"/>
                <w:sz w:val="28"/>
                <w:szCs w:val="28"/>
              </w:rPr>
              <w:t>-</w:t>
            </w:r>
            <w:r>
              <w:rPr>
                <w:rFonts w:ascii="Times New Roman" w:eastAsia="方正仿宋_GBK" w:hAnsi="Times New Roman"/>
                <w:sz w:val="28"/>
                <w:szCs w:val="28"/>
              </w:rPr>
              <w:t>景区及扬州城</w:t>
            </w:r>
            <w:proofErr w:type="gramStart"/>
            <w:r>
              <w:rPr>
                <w:rFonts w:ascii="Times New Roman" w:eastAsia="方正仿宋_GBK" w:hAnsi="Times New Roman"/>
                <w:sz w:val="28"/>
                <w:szCs w:val="28"/>
              </w:rPr>
              <w:t>控集团</w:t>
            </w:r>
            <w:proofErr w:type="gramEnd"/>
            <w:r>
              <w:rPr>
                <w:rFonts w:ascii="Times New Roman" w:eastAsia="方正仿宋_GBK" w:hAnsi="Times New Roman"/>
                <w:sz w:val="28"/>
                <w:szCs w:val="28"/>
              </w:rPr>
              <w:t>共同发起设立</w:t>
            </w:r>
            <w:r>
              <w:rPr>
                <w:rFonts w:ascii="Times New Roman" w:eastAsia="方正仿宋_GBK" w:hAnsi="Times New Roman"/>
                <w:sz w:val="28"/>
                <w:szCs w:val="28"/>
              </w:rPr>
              <w:t>20</w:t>
            </w:r>
            <w:r>
              <w:rPr>
                <w:rFonts w:ascii="Times New Roman" w:eastAsia="方正仿宋_GBK" w:hAnsi="Times New Roman"/>
                <w:sz w:val="28"/>
                <w:szCs w:val="28"/>
              </w:rPr>
              <w:t>亿元的古城保护专项基金，支持古城保护与更新利用相关项目；争取国开行</w:t>
            </w:r>
            <w:r>
              <w:rPr>
                <w:rFonts w:ascii="Times New Roman" w:eastAsia="方正仿宋_GBK" w:hAnsi="Times New Roman"/>
                <w:sz w:val="28"/>
                <w:szCs w:val="28"/>
              </w:rPr>
              <w:t>200</w:t>
            </w:r>
            <w:r>
              <w:rPr>
                <w:rFonts w:ascii="Times New Roman" w:eastAsia="方正仿宋_GBK" w:hAnsi="Times New Roman"/>
                <w:sz w:val="28"/>
                <w:szCs w:val="28"/>
              </w:rPr>
              <w:t>亿元综合信贷支持，助力</w:t>
            </w:r>
            <w:proofErr w:type="gramStart"/>
            <w:r>
              <w:rPr>
                <w:rFonts w:ascii="Times New Roman" w:eastAsia="方正仿宋_GBK" w:hAnsi="Times New Roman"/>
                <w:sz w:val="28"/>
                <w:szCs w:val="28"/>
              </w:rPr>
              <w:t>广陵文旅集团</w:t>
            </w:r>
            <w:proofErr w:type="gramEnd"/>
            <w:r>
              <w:rPr>
                <w:rFonts w:ascii="Times New Roman" w:eastAsia="方正仿宋_GBK" w:hAnsi="Times New Roman"/>
                <w:sz w:val="28"/>
                <w:szCs w:val="28"/>
              </w:rPr>
              <w:t>获</w:t>
            </w:r>
            <w:r>
              <w:rPr>
                <w:rFonts w:ascii="Times New Roman" w:eastAsia="方正仿宋_GBK" w:hAnsi="Times New Roman"/>
                <w:sz w:val="28"/>
                <w:szCs w:val="28"/>
              </w:rPr>
              <w:t>9</w:t>
            </w:r>
            <w:r>
              <w:rPr>
                <w:rFonts w:ascii="Times New Roman" w:eastAsia="方正仿宋_GBK" w:hAnsi="Times New Roman"/>
                <w:sz w:val="28"/>
                <w:szCs w:val="28"/>
              </w:rPr>
              <w:t>亿元长期低息贷款，推动广陵</w:t>
            </w:r>
            <w:proofErr w:type="gramStart"/>
            <w:r>
              <w:rPr>
                <w:rFonts w:ascii="Times New Roman" w:eastAsia="方正仿宋_GBK" w:hAnsi="Times New Roman"/>
                <w:sz w:val="28"/>
                <w:szCs w:val="28"/>
              </w:rPr>
              <w:t>路改善</w:t>
            </w:r>
            <w:proofErr w:type="gramEnd"/>
            <w:r>
              <w:rPr>
                <w:rFonts w:ascii="Times New Roman" w:eastAsia="方正仿宋_GBK" w:hAnsi="Times New Roman"/>
                <w:sz w:val="28"/>
                <w:szCs w:val="28"/>
              </w:rPr>
              <w:t>更新项目实施，广陵有盐文化街区顺利开街，首年吸引游客</w:t>
            </w:r>
            <w:r>
              <w:rPr>
                <w:rFonts w:ascii="Times New Roman" w:eastAsia="方正仿宋_GBK" w:hAnsi="Times New Roman"/>
                <w:sz w:val="28"/>
                <w:szCs w:val="28"/>
              </w:rPr>
              <w:t>160</w:t>
            </w:r>
            <w:r>
              <w:rPr>
                <w:rFonts w:ascii="Times New Roman" w:eastAsia="方正仿宋_GBK" w:hAnsi="Times New Roman"/>
                <w:sz w:val="28"/>
                <w:szCs w:val="28"/>
              </w:rPr>
              <w:t>万人次；带动</w:t>
            </w:r>
            <w:r>
              <w:rPr>
                <w:rFonts w:ascii="Times New Roman" w:eastAsia="方正仿宋_GBK" w:hAnsi="Times New Roman"/>
                <w:sz w:val="28"/>
                <w:szCs w:val="28"/>
              </w:rPr>
              <w:t>“</w:t>
            </w:r>
            <w:r>
              <w:rPr>
                <w:rFonts w:ascii="Times New Roman" w:eastAsia="方正仿宋_GBK" w:hAnsi="Times New Roman"/>
                <w:sz w:val="28"/>
                <w:szCs w:val="28"/>
              </w:rPr>
              <w:t>桃李春风</w:t>
            </w:r>
            <w:r>
              <w:rPr>
                <w:rFonts w:ascii="Times New Roman" w:eastAsia="方正仿宋_GBK" w:hAnsi="Times New Roman"/>
                <w:sz w:val="28"/>
                <w:szCs w:val="28"/>
              </w:rPr>
              <w:t>”</w:t>
            </w:r>
            <w:r>
              <w:rPr>
                <w:rFonts w:ascii="Times New Roman" w:eastAsia="方正仿宋_GBK" w:hAnsi="Times New Roman"/>
                <w:sz w:val="28"/>
                <w:szCs w:val="28"/>
              </w:rPr>
              <w:t>民居、</w:t>
            </w:r>
            <w:r>
              <w:rPr>
                <w:rFonts w:ascii="Times New Roman" w:eastAsia="方正仿宋_GBK" w:hAnsi="Times New Roman"/>
                <w:sz w:val="28"/>
                <w:szCs w:val="28"/>
              </w:rPr>
              <w:t>“</w:t>
            </w:r>
            <w:r>
              <w:rPr>
                <w:rFonts w:ascii="Times New Roman" w:eastAsia="方正仿宋_GBK" w:hAnsi="Times New Roman"/>
                <w:sz w:val="28"/>
                <w:szCs w:val="28"/>
              </w:rPr>
              <w:t>飛原创</w:t>
            </w:r>
            <w:r>
              <w:rPr>
                <w:rFonts w:ascii="Times New Roman" w:eastAsia="方正仿宋_GBK" w:hAnsi="Times New Roman"/>
                <w:sz w:val="28"/>
                <w:szCs w:val="28"/>
              </w:rPr>
              <w:t>”</w:t>
            </w:r>
            <w:proofErr w:type="gramStart"/>
            <w:r>
              <w:rPr>
                <w:rFonts w:ascii="Times New Roman" w:eastAsia="方正仿宋_GBK" w:hAnsi="Times New Roman"/>
                <w:sz w:val="28"/>
                <w:szCs w:val="28"/>
              </w:rPr>
              <w:t>手艺工</w:t>
            </w:r>
            <w:proofErr w:type="gramEnd"/>
            <w:r>
              <w:rPr>
                <w:rFonts w:ascii="Times New Roman" w:eastAsia="方正仿宋_GBK" w:hAnsi="Times New Roman"/>
                <w:sz w:val="28"/>
                <w:szCs w:val="28"/>
              </w:rPr>
              <w:t>坊等居民和商户自主更新，吸引社会资本投入近</w:t>
            </w:r>
            <w:r>
              <w:rPr>
                <w:rFonts w:ascii="Times New Roman" w:eastAsia="方正仿宋_GBK" w:hAnsi="Times New Roman"/>
                <w:sz w:val="28"/>
                <w:szCs w:val="28"/>
              </w:rPr>
              <w:t>2</w:t>
            </w:r>
            <w:r>
              <w:rPr>
                <w:rFonts w:ascii="Times New Roman" w:eastAsia="方正仿宋_GBK" w:hAnsi="Times New Roman"/>
                <w:sz w:val="28"/>
                <w:szCs w:val="28"/>
              </w:rPr>
              <w:t>亿元。</w:t>
            </w:r>
          </w:p>
        </w:tc>
      </w:tr>
      <w:tr w:rsidR="00D60162" w14:paraId="39862F88" w14:textId="77777777">
        <w:trPr>
          <w:trHeight w:val="2406"/>
          <w:jc w:val="center"/>
        </w:trPr>
        <w:tc>
          <w:tcPr>
            <w:tcW w:w="313" w:type="pct"/>
            <w:vMerge/>
            <w:tcBorders>
              <w:top w:val="single" w:sz="4" w:space="0" w:color="000000"/>
              <w:left w:val="single" w:sz="4" w:space="0" w:color="000000"/>
              <w:bottom w:val="single" w:sz="4" w:space="0" w:color="000000"/>
              <w:right w:val="single" w:sz="4" w:space="0" w:color="000000"/>
            </w:tcBorders>
            <w:shd w:val="clear" w:color="auto" w:fill="auto"/>
            <w:vAlign w:val="center"/>
          </w:tcPr>
          <w:p w14:paraId="052676DB" w14:textId="77777777" w:rsidR="00D60162" w:rsidRDefault="00D60162">
            <w:pPr>
              <w:rPr>
                <w:rFonts w:ascii="方正楷体_GBK" w:eastAsia="方正楷体_GBK" w:hAnsi="方正楷体_GBK" w:cs="方正楷体_GBK" w:hint="eastAsia"/>
                <w:sz w:val="20"/>
              </w:rPr>
            </w:pPr>
          </w:p>
        </w:tc>
        <w:tc>
          <w:tcPr>
            <w:tcW w:w="551" w:type="pct"/>
            <w:vMerge/>
            <w:tcBorders>
              <w:top w:val="single" w:sz="4" w:space="0" w:color="000000"/>
              <w:left w:val="single" w:sz="4" w:space="0" w:color="000000"/>
              <w:bottom w:val="single" w:sz="4" w:space="0" w:color="000000"/>
              <w:right w:val="single" w:sz="4" w:space="0" w:color="000000"/>
            </w:tcBorders>
            <w:shd w:val="clear" w:color="auto" w:fill="auto"/>
            <w:vAlign w:val="center"/>
          </w:tcPr>
          <w:p w14:paraId="2FAA61D6" w14:textId="77777777" w:rsidR="00D60162" w:rsidRDefault="00D60162">
            <w:pPr>
              <w:rPr>
                <w:rFonts w:ascii="方正楷体_GBK" w:eastAsia="方正楷体_GBK" w:hAnsi="方正楷体_GBK" w:cs="方正楷体_GBK" w:hint="eastAsia"/>
                <w:sz w:val="20"/>
              </w:rPr>
            </w:pPr>
          </w:p>
        </w:tc>
        <w:tc>
          <w:tcPr>
            <w:tcW w:w="55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14:paraId="36782403" w14:textId="77777777" w:rsidR="00D60162" w:rsidRDefault="00D60162">
            <w:pPr>
              <w:rPr>
                <w:rFonts w:ascii="方正楷体_GBK" w:eastAsia="方正楷体_GBK" w:hAnsi="方正楷体_GBK" w:cs="方正楷体_GBK" w:hint="eastAsia"/>
                <w:sz w:val="20"/>
              </w:rPr>
            </w:pPr>
          </w:p>
        </w:tc>
        <w:tc>
          <w:tcPr>
            <w:tcW w:w="3579" w:type="pct"/>
            <w:tcBorders>
              <w:top w:val="single" w:sz="4" w:space="0" w:color="000000"/>
              <w:left w:val="single" w:sz="4" w:space="0" w:color="000000"/>
              <w:bottom w:val="single" w:sz="4" w:space="0" w:color="000000"/>
              <w:right w:val="single" w:sz="4" w:space="0" w:color="000000"/>
            </w:tcBorders>
            <w:shd w:val="clear" w:color="auto" w:fill="auto"/>
            <w:vAlign w:val="center"/>
          </w:tcPr>
          <w:p w14:paraId="3A0A55B1" w14:textId="77777777" w:rsidR="00D60162" w:rsidRDefault="00000000">
            <w:pPr>
              <w:pStyle w:val="11"/>
              <w:widowControl/>
              <w:numPr>
                <w:ilvl w:val="255"/>
                <w:numId w:val="0"/>
              </w:numPr>
              <w:spacing w:line="400" w:lineRule="exact"/>
              <w:rPr>
                <w:rFonts w:ascii="Times New Roman" w:eastAsia="方正仿宋_GBK" w:hAnsi="Times New Roman"/>
                <w:b/>
                <w:bCs/>
                <w:sz w:val="28"/>
                <w:szCs w:val="28"/>
              </w:rPr>
            </w:pPr>
            <w:r>
              <w:rPr>
                <w:rFonts w:ascii="Times New Roman" w:eastAsia="方正仿宋_GBK" w:hAnsi="Times New Roman" w:hint="eastAsia"/>
                <w:b/>
                <w:bCs/>
                <w:sz w:val="28"/>
                <w:szCs w:val="28"/>
                <w:lang w:eastAsia="zh"/>
              </w:rPr>
              <w:t>8.</w:t>
            </w:r>
            <w:r>
              <w:rPr>
                <w:rFonts w:ascii="Times New Roman" w:eastAsia="方正仿宋_GBK" w:hAnsi="Times New Roman"/>
                <w:b/>
                <w:bCs/>
                <w:sz w:val="28"/>
                <w:szCs w:val="28"/>
              </w:rPr>
              <w:t>如皋市</w:t>
            </w:r>
            <w:r>
              <w:rPr>
                <w:rFonts w:ascii="Times New Roman" w:eastAsia="方正仿宋_GBK" w:hAnsi="Times New Roman" w:hint="eastAsia"/>
                <w:b/>
                <w:bCs/>
                <w:sz w:val="28"/>
                <w:szCs w:val="28"/>
              </w:rPr>
              <w:t>拓宽</w:t>
            </w:r>
            <w:r>
              <w:rPr>
                <w:rFonts w:ascii="Times New Roman" w:eastAsia="方正仿宋_GBK" w:hAnsi="Times New Roman"/>
                <w:b/>
                <w:bCs/>
                <w:sz w:val="28"/>
                <w:szCs w:val="28"/>
              </w:rPr>
              <w:t>历史文化保护利用</w:t>
            </w:r>
            <w:r>
              <w:rPr>
                <w:rFonts w:ascii="Times New Roman" w:eastAsia="方正仿宋_GBK" w:hAnsi="Times New Roman" w:hint="eastAsia"/>
                <w:b/>
                <w:bCs/>
                <w:sz w:val="28"/>
                <w:szCs w:val="28"/>
              </w:rPr>
              <w:t>资金来源</w:t>
            </w:r>
            <w:r>
              <w:rPr>
                <w:rFonts w:ascii="Times New Roman" w:eastAsia="方正仿宋_GBK" w:hAnsi="Times New Roman"/>
                <w:b/>
                <w:bCs/>
                <w:sz w:val="28"/>
                <w:szCs w:val="28"/>
              </w:rPr>
              <w:t>。</w:t>
            </w:r>
            <w:r>
              <w:rPr>
                <w:rFonts w:ascii="Times New Roman" w:eastAsia="方正仿宋_GBK" w:hAnsi="Times New Roman"/>
                <w:sz w:val="28"/>
                <w:szCs w:val="28"/>
              </w:rPr>
              <w:t>着力盘活闲置空间资源，打造了丝毯博物馆、水绘讲堂、季凯事迹馆等文化空间，积极引导居民依托传统建筑培育茶艺、琴艺等业态，形成</w:t>
            </w:r>
            <w:r>
              <w:rPr>
                <w:rFonts w:ascii="Times New Roman" w:eastAsia="方正仿宋_GBK" w:hAnsi="Times New Roman"/>
                <w:sz w:val="28"/>
                <w:szCs w:val="28"/>
              </w:rPr>
              <w:t>“</w:t>
            </w:r>
            <w:r>
              <w:rPr>
                <w:rFonts w:ascii="Times New Roman" w:eastAsia="方正仿宋_GBK" w:hAnsi="Times New Roman"/>
                <w:sz w:val="28"/>
                <w:szCs w:val="28"/>
              </w:rPr>
              <w:t>一家一特色</w:t>
            </w:r>
            <w:r>
              <w:rPr>
                <w:rFonts w:ascii="Times New Roman" w:eastAsia="方正仿宋_GBK" w:hAnsi="Times New Roman"/>
                <w:sz w:val="28"/>
                <w:szCs w:val="28"/>
              </w:rPr>
              <w:t>”</w:t>
            </w:r>
            <w:r>
              <w:rPr>
                <w:rFonts w:ascii="Times New Roman" w:eastAsia="方正仿宋_GBK" w:hAnsi="Times New Roman"/>
                <w:sz w:val="28"/>
                <w:szCs w:val="28"/>
              </w:rPr>
              <w:t>的</w:t>
            </w:r>
            <w:r>
              <w:rPr>
                <w:rFonts w:ascii="Times New Roman" w:eastAsia="方正仿宋_GBK" w:hAnsi="Times New Roman"/>
                <w:sz w:val="28"/>
                <w:szCs w:val="28"/>
              </w:rPr>
              <w:t>“IP”</w:t>
            </w:r>
            <w:r>
              <w:rPr>
                <w:rFonts w:ascii="Times New Roman" w:eastAsia="方正仿宋_GBK" w:hAnsi="Times New Roman"/>
                <w:sz w:val="28"/>
                <w:szCs w:val="28"/>
              </w:rPr>
              <w:t>效应，加力拓宽资金渠道，共获财政资金支持每年超</w:t>
            </w:r>
            <w:r>
              <w:rPr>
                <w:rFonts w:ascii="Times New Roman" w:eastAsia="方正仿宋_GBK" w:hAnsi="Times New Roman"/>
                <w:sz w:val="28"/>
                <w:szCs w:val="28"/>
              </w:rPr>
              <w:t>1000</w:t>
            </w:r>
            <w:r>
              <w:rPr>
                <w:rFonts w:ascii="Times New Roman" w:eastAsia="方正仿宋_GBK" w:hAnsi="Times New Roman"/>
                <w:sz w:val="28"/>
                <w:szCs w:val="28"/>
              </w:rPr>
              <w:t>万元，累计争取国家和省级专项资金</w:t>
            </w:r>
            <w:r>
              <w:rPr>
                <w:rFonts w:ascii="Times New Roman" w:eastAsia="方正仿宋_GBK" w:hAnsi="Times New Roman"/>
                <w:sz w:val="28"/>
                <w:szCs w:val="28"/>
              </w:rPr>
              <w:t>7320</w:t>
            </w:r>
            <w:r>
              <w:rPr>
                <w:rFonts w:ascii="Times New Roman" w:eastAsia="方正仿宋_GBK" w:hAnsi="Times New Roman"/>
                <w:sz w:val="28"/>
                <w:szCs w:val="28"/>
              </w:rPr>
              <w:t>万元，引入社会资金</w:t>
            </w:r>
            <w:r>
              <w:rPr>
                <w:rFonts w:ascii="Times New Roman" w:eastAsia="方正仿宋_GBK" w:hAnsi="Times New Roman"/>
                <w:sz w:val="28"/>
                <w:szCs w:val="28"/>
              </w:rPr>
              <w:t>1000</w:t>
            </w:r>
            <w:r>
              <w:rPr>
                <w:rFonts w:ascii="Times New Roman" w:eastAsia="方正仿宋_GBK" w:hAnsi="Times New Roman"/>
                <w:sz w:val="28"/>
                <w:szCs w:val="28"/>
              </w:rPr>
              <w:t>余万元。</w:t>
            </w:r>
          </w:p>
        </w:tc>
      </w:tr>
      <w:tr w:rsidR="00D60162" w14:paraId="07A21C1B" w14:textId="77777777">
        <w:trPr>
          <w:jc w:val="center"/>
        </w:trPr>
        <w:tc>
          <w:tcPr>
            <w:tcW w:w="313" w:type="pct"/>
            <w:vMerge/>
            <w:tcBorders>
              <w:top w:val="single" w:sz="4" w:space="0" w:color="000000"/>
              <w:left w:val="single" w:sz="4" w:space="0" w:color="000000"/>
              <w:bottom w:val="single" w:sz="4" w:space="0" w:color="000000"/>
              <w:right w:val="single" w:sz="4" w:space="0" w:color="000000"/>
            </w:tcBorders>
            <w:shd w:val="clear" w:color="auto" w:fill="auto"/>
            <w:vAlign w:val="center"/>
          </w:tcPr>
          <w:p w14:paraId="6BDA5224" w14:textId="77777777" w:rsidR="00D60162" w:rsidRDefault="00D60162">
            <w:pPr>
              <w:rPr>
                <w:rFonts w:ascii="方正楷体_GBK" w:eastAsia="方正楷体_GBK" w:hAnsi="方正楷体_GBK" w:cs="方正楷体_GBK" w:hint="eastAsia"/>
                <w:sz w:val="20"/>
              </w:rPr>
            </w:pPr>
          </w:p>
        </w:tc>
        <w:tc>
          <w:tcPr>
            <w:tcW w:w="551" w:type="pct"/>
            <w:vMerge/>
            <w:tcBorders>
              <w:top w:val="single" w:sz="4" w:space="0" w:color="000000"/>
              <w:left w:val="single" w:sz="4" w:space="0" w:color="000000"/>
              <w:bottom w:val="single" w:sz="4" w:space="0" w:color="000000"/>
              <w:right w:val="single" w:sz="4" w:space="0" w:color="000000"/>
            </w:tcBorders>
            <w:shd w:val="clear" w:color="auto" w:fill="auto"/>
            <w:vAlign w:val="center"/>
          </w:tcPr>
          <w:p w14:paraId="318E11D6" w14:textId="77777777" w:rsidR="00D60162" w:rsidRDefault="00D60162">
            <w:pPr>
              <w:rPr>
                <w:rFonts w:ascii="方正楷体_GBK" w:eastAsia="方正楷体_GBK" w:hAnsi="方正楷体_GBK" w:cs="方正楷体_GBK" w:hint="eastAsia"/>
                <w:sz w:val="20"/>
              </w:rPr>
            </w:pPr>
          </w:p>
        </w:tc>
        <w:tc>
          <w:tcPr>
            <w:tcW w:w="55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14:paraId="324F01CE" w14:textId="77777777" w:rsidR="00D60162" w:rsidRDefault="00D60162">
            <w:pPr>
              <w:rPr>
                <w:rFonts w:ascii="方正楷体_GBK" w:eastAsia="方正楷体_GBK" w:hAnsi="方正楷体_GBK" w:cs="方正楷体_GBK" w:hint="eastAsia"/>
                <w:sz w:val="20"/>
              </w:rPr>
            </w:pPr>
          </w:p>
        </w:tc>
        <w:tc>
          <w:tcPr>
            <w:tcW w:w="3579" w:type="pct"/>
            <w:tcBorders>
              <w:top w:val="single" w:sz="4" w:space="0" w:color="000000"/>
              <w:left w:val="single" w:sz="4" w:space="0" w:color="000000"/>
              <w:bottom w:val="single" w:sz="4" w:space="0" w:color="000000"/>
              <w:right w:val="single" w:sz="4" w:space="0" w:color="000000"/>
            </w:tcBorders>
            <w:shd w:val="clear" w:color="auto" w:fill="auto"/>
            <w:vAlign w:val="center"/>
          </w:tcPr>
          <w:p w14:paraId="1C05051E" w14:textId="77777777" w:rsidR="00D60162" w:rsidRDefault="00000000">
            <w:pPr>
              <w:pStyle w:val="11"/>
              <w:widowControl/>
              <w:numPr>
                <w:ilvl w:val="255"/>
                <w:numId w:val="0"/>
              </w:numPr>
              <w:spacing w:line="400" w:lineRule="exact"/>
              <w:rPr>
                <w:rFonts w:ascii="Times New Roman" w:eastAsia="方正仿宋_GBK" w:hAnsi="Times New Roman"/>
                <w:b/>
                <w:bCs/>
                <w:sz w:val="28"/>
                <w:szCs w:val="28"/>
              </w:rPr>
            </w:pPr>
            <w:r>
              <w:rPr>
                <w:rFonts w:ascii="Times New Roman" w:eastAsia="方正仿宋_GBK" w:hAnsi="Times New Roman" w:hint="eastAsia"/>
                <w:b/>
                <w:bCs/>
                <w:sz w:val="28"/>
                <w:szCs w:val="28"/>
                <w:lang w:eastAsia="zh"/>
              </w:rPr>
              <w:t>9.</w:t>
            </w:r>
            <w:r>
              <w:rPr>
                <w:rFonts w:ascii="Times New Roman" w:eastAsia="方正仿宋_GBK" w:hAnsi="Times New Roman"/>
                <w:b/>
                <w:bCs/>
                <w:sz w:val="28"/>
                <w:szCs w:val="28"/>
              </w:rPr>
              <w:t>宿迁市创新资金筹措方式盘活闲置房源。</w:t>
            </w:r>
            <w:r>
              <w:rPr>
                <w:rFonts w:ascii="Times New Roman" w:eastAsia="方正仿宋_GBK" w:hAnsi="Times New Roman" w:hint="eastAsia"/>
                <w:sz w:val="28"/>
                <w:szCs w:val="28"/>
              </w:rPr>
              <w:t>印发</w:t>
            </w:r>
            <w:r>
              <w:rPr>
                <w:rFonts w:ascii="Times New Roman" w:eastAsia="方正仿宋_GBK" w:hAnsi="Times New Roman"/>
                <w:sz w:val="28"/>
                <w:szCs w:val="28"/>
              </w:rPr>
              <w:t>《推进人才公寓建设三年行动计划（</w:t>
            </w:r>
            <w:r>
              <w:rPr>
                <w:rFonts w:ascii="Times New Roman" w:eastAsia="方正仿宋_GBK" w:hAnsi="Times New Roman"/>
                <w:sz w:val="28"/>
                <w:szCs w:val="28"/>
              </w:rPr>
              <w:t>2025-2027</w:t>
            </w:r>
            <w:r>
              <w:rPr>
                <w:rFonts w:ascii="Times New Roman" w:eastAsia="方正仿宋_GBK" w:hAnsi="Times New Roman"/>
                <w:sz w:val="28"/>
                <w:szCs w:val="28"/>
              </w:rPr>
              <w:t>）》，通过多元化</w:t>
            </w:r>
            <w:r>
              <w:rPr>
                <w:rFonts w:ascii="Times New Roman" w:eastAsia="方正仿宋_GBK" w:hAnsi="Times New Roman" w:hint="eastAsia"/>
                <w:sz w:val="28"/>
                <w:szCs w:val="28"/>
              </w:rPr>
              <w:t>渠道</w:t>
            </w:r>
            <w:r>
              <w:rPr>
                <w:rFonts w:ascii="Times New Roman" w:eastAsia="方正仿宋_GBK" w:hAnsi="Times New Roman"/>
                <w:sz w:val="28"/>
                <w:szCs w:val="28"/>
              </w:rPr>
              <w:t>筹措资金盘活闲置房源，计划到</w:t>
            </w:r>
            <w:r>
              <w:rPr>
                <w:rFonts w:ascii="Times New Roman" w:eastAsia="方正仿宋_GBK" w:hAnsi="Times New Roman"/>
                <w:sz w:val="28"/>
                <w:szCs w:val="28"/>
              </w:rPr>
              <w:t>2027</w:t>
            </w:r>
            <w:r>
              <w:rPr>
                <w:rFonts w:ascii="Times New Roman" w:eastAsia="方正仿宋_GBK" w:hAnsi="Times New Roman"/>
                <w:sz w:val="28"/>
                <w:szCs w:val="28"/>
              </w:rPr>
              <w:t>年新增人才公寓</w:t>
            </w:r>
            <w:r>
              <w:rPr>
                <w:rFonts w:ascii="Times New Roman" w:eastAsia="方正仿宋_GBK" w:hAnsi="Times New Roman"/>
                <w:sz w:val="28"/>
                <w:szCs w:val="28"/>
              </w:rPr>
              <w:t>2.1</w:t>
            </w:r>
            <w:r>
              <w:rPr>
                <w:rFonts w:ascii="Times New Roman" w:eastAsia="方正仿宋_GBK" w:hAnsi="Times New Roman"/>
                <w:sz w:val="28"/>
                <w:szCs w:val="28"/>
              </w:rPr>
              <w:t>万套。如泗洪人才之家项目，通过</w:t>
            </w:r>
            <w:r>
              <w:rPr>
                <w:rFonts w:ascii="Times New Roman" w:eastAsia="方正仿宋_GBK" w:hAnsi="Times New Roman"/>
                <w:sz w:val="28"/>
                <w:szCs w:val="28"/>
              </w:rPr>
              <w:t>“</w:t>
            </w:r>
            <w:r>
              <w:rPr>
                <w:rFonts w:ascii="Times New Roman" w:eastAsia="方正仿宋_GBK" w:hAnsi="Times New Roman"/>
                <w:sz w:val="28"/>
                <w:szCs w:val="28"/>
              </w:rPr>
              <w:t>收益权质押融资</w:t>
            </w:r>
            <w:r>
              <w:rPr>
                <w:rFonts w:ascii="Times New Roman" w:eastAsia="方正仿宋_GBK" w:hAnsi="Times New Roman"/>
                <w:sz w:val="28"/>
                <w:szCs w:val="28"/>
              </w:rPr>
              <w:t>”</w:t>
            </w:r>
            <w:r>
              <w:rPr>
                <w:rFonts w:ascii="Times New Roman" w:eastAsia="方正仿宋_GBK" w:hAnsi="Times New Roman"/>
                <w:sz w:val="28"/>
                <w:szCs w:val="28"/>
              </w:rPr>
              <w:t>模式将</w:t>
            </w:r>
            <w:r>
              <w:rPr>
                <w:rFonts w:ascii="Times New Roman" w:eastAsia="方正仿宋_GBK" w:hAnsi="Times New Roman"/>
                <w:sz w:val="28"/>
                <w:szCs w:val="28"/>
              </w:rPr>
              <w:t>394</w:t>
            </w:r>
            <w:r>
              <w:rPr>
                <w:rFonts w:ascii="Times New Roman" w:eastAsia="方正仿宋_GBK" w:hAnsi="Times New Roman"/>
                <w:sz w:val="28"/>
                <w:szCs w:val="28"/>
              </w:rPr>
              <w:t>套闲置公寓改造为高品质青年人才社区。构建</w:t>
            </w:r>
            <w:r>
              <w:rPr>
                <w:rFonts w:ascii="Times New Roman" w:eastAsia="方正仿宋_GBK" w:hAnsi="Times New Roman"/>
                <w:sz w:val="28"/>
                <w:szCs w:val="28"/>
              </w:rPr>
              <w:t>“</w:t>
            </w:r>
            <w:r>
              <w:rPr>
                <w:rFonts w:ascii="Times New Roman" w:eastAsia="方正仿宋_GBK" w:hAnsi="Times New Roman"/>
                <w:sz w:val="28"/>
                <w:szCs w:val="28"/>
              </w:rPr>
              <w:t>智慧</w:t>
            </w:r>
            <w:r>
              <w:rPr>
                <w:rFonts w:ascii="Times New Roman" w:eastAsia="方正仿宋_GBK" w:hAnsi="Times New Roman"/>
                <w:sz w:val="28"/>
                <w:szCs w:val="28"/>
              </w:rPr>
              <w:t>+</w:t>
            </w:r>
            <w:r>
              <w:rPr>
                <w:rFonts w:ascii="Times New Roman" w:eastAsia="方正仿宋_GBK" w:hAnsi="Times New Roman"/>
                <w:sz w:val="28"/>
                <w:szCs w:val="28"/>
              </w:rPr>
              <w:t>温度</w:t>
            </w:r>
            <w:r>
              <w:rPr>
                <w:rFonts w:ascii="Times New Roman" w:eastAsia="方正仿宋_GBK" w:hAnsi="Times New Roman"/>
                <w:sz w:val="28"/>
                <w:szCs w:val="28"/>
              </w:rPr>
              <w:t>”</w:t>
            </w:r>
            <w:r>
              <w:rPr>
                <w:rFonts w:ascii="Times New Roman" w:eastAsia="方正仿宋_GBK" w:hAnsi="Times New Roman"/>
                <w:sz w:val="28"/>
                <w:szCs w:val="28"/>
              </w:rPr>
              <w:t>运营系统，提供在线选房、智能管理等便捷服务，并推出</w:t>
            </w:r>
            <w:r>
              <w:rPr>
                <w:rFonts w:ascii="Times New Roman" w:eastAsia="方正仿宋_GBK" w:hAnsi="Times New Roman"/>
                <w:sz w:val="28"/>
                <w:szCs w:val="28"/>
              </w:rPr>
              <w:t>“</w:t>
            </w:r>
            <w:r>
              <w:rPr>
                <w:rFonts w:ascii="Times New Roman" w:eastAsia="方正仿宋_GBK" w:hAnsi="Times New Roman"/>
                <w:sz w:val="28"/>
                <w:szCs w:val="28"/>
              </w:rPr>
              <w:t>安居</w:t>
            </w:r>
            <w:r>
              <w:rPr>
                <w:rFonts w:ascii="Times New Roman" w:eastAsia="方正仿宋_GBK" w:hAnsi="Times New Roman"/>
                <w:sz w:val="28"/>
                <w:szCs w:val="28"/>
              </w:rPr>
              <w:t>+</w:t>
            </w:r>
            <w:r>
              <w:rPr>
                <w:rFonts w:ascii="Times New Roman" w:eastAsia="方正仿宋_GBK" w:hAnsi="Times New Roman"/>
                <w:sz w:val="28"/>
                <w:szCs w:val="28"/>
              </w:rPr>
              <w:t>成长</w:t>
            </w:r>
            <w:r>
              <w:rPr>
                <w:rFonts w:ascii="Times New Roman" w:eastAsia="方正仿宋_GBK" w:hAnsi="Times New Roman"/>
                <w:sz w:val="28"/>
                <w:szCs w:val="28"/>
              </w:rPr>
              <w:t>”</w:t>
            </w:r>
            <w:r>
              <w:rPr>
                <w:rFonts w:ascii="Times New Roman" w:eastAsia="方正仿宋_GBK" w:hAnsi="Times New Roman"/>
                <w:sz w:val="28"/>
                <w:szCs w:val="28"/>
              </w:rPr>
              <w:t>机制，依托技能培训、社群活动等促进青年人才融入与发展，实现从</w:t>
            </w:r>
            <w:r>
              <w:rPr>
                <w:rFonts w:ascii="Times New Roman" w:eastAsia="方正仿宋_GBK" w:hAnsi="Times New Roman"/>
                <w:sz w:val="28"/>
                <w:szCs w:val="28"/>
              </w:rPr>
              <w:t>“</w:t>
            </w:r>
            <w:r>
              <w:rPr>
                <w:rFonts w:ascii="Times New Roman" w:eastAsia="方正仿宋_GBK" w:hAnsi="Times New Roman"/>
                <w:sz w:val="28"/>
                <w:szCs w:val="28"/>
              </w:rPr>
              <w:t>住有所居</w:t>
            </w:r>
            <w:r>
              <w:rPr>
                <w:rFonts w:ascii="Times New Roman" w:eastAsia="方正仿宋_GBK" w:hAnsi="Times New Roman"/>
                <w:sz w:val="28"/>
                <w:szCs w:val="28"/>
              </w:rPr>
              <w:t>”</w:t>
            </w:r>
            <w:r>
              <w:rPr>
                <w:rFonts w:ascii="Times New Roman" w:eastAsia="方正仿宋_GBK" w:hAnsi="Times New Roman"/>
                <w:sz w:val="28"/>
                <w:szCs w:val="28"/>
              </w:rPr>
              <w:t>到</w:t>
            </w:r>
            <w:r>
              <w:rPr>
                <w:rFonts w:ascii="Times New Roman" w:eastAsia="方正仿宋_GBK" w:hAnsi="Times New Roman"/>
                <w:sz w:val="28"/>
                <w:szCs w:val="28"/>
              </w:rPr>
              <w:t>“</w:t>
            </w:r>
            <w:r>
              <w:rPr>
                <w:rFonts w:ascii="Times New Roman" w:eastAsia="方正仿宋_GBK" w:hAnsi="Times New Roman"/>
                <w:sz w:val="28"/>
                <w:szCs w:val="28"/>
              </w:rPr>
              <w:t>心有所属</w:t>
            </w:r>
            <w:r>
              <w:rPr>
                <w:rFonts w:ascii="Times New Roman" w:eastAsia="方正仿宋_GBK" w:hAnsi="Times New Roman"/>
                <w:sz w:val="28"/>
                <w:szCs w:val="28"/>
              </w:rPr>
              <w:t>”</w:t>
            </w:r>
            <w:r>
              <w:rPr>
                <w:rFonts w:ascii="Times New Roman" w:eastAsia="方正仿宋_GBK" w:hAnsi="Times New Roman"/>
                <w:sz w:val="28"/>
                <w:szCs w:val="28"/>
              </w:rPr>
              <w:t>的转变。</w:t>
            </w:r>
          </w:p>
        </w:tc>
      </w:tr>
      <w:tr w:rsidR="00D60162" w14:paraId="562F1DC4" w14:textId="77777777">
        <w:trPr>
          <w:trHeight w:val="2280"/>
          <w:jc w:val="center"/>
        </w:trPr>
        <w:tc>
          <w:tcPr>
            <w:tcW w:w="313" w:type="pct"/>
            <w:vMerge/>
            <w:tcBorders>
              <w:top w:val="single" w:sz="4" w:space="0" w:color="000000"/>
              <w:left w:val="single" w:sz="4" w:space="0" w:color="000000"/>
              <w:bottom w:val="single" w:sz="4" w:space="0" w:color="000000"/>
              <w:right w:val="single" w:sz="4" w:space="0" w:color="000000"/>
            </w:tcBorders>
            <w:shd w:val="clear" w:color="auto" w:fill="auto"/>
            <w:vAlign w:val="center"/>
          </w:tcPr>
          <w:p w14:paraId="711CE0DE" w14:textId="77777777" w:rsidR="00D60162" w:rsidRDefault="00D60162">
            <w:pPr>
              <w:rPr>
                <w:rFonts w:ascii="方正楷体_GBK" w:eastAsia="方正楷体_GBK" w:hAnsi="方正楷体_GBK" w:cs="方正楷体_GBK" w:hint="eastAsia"/>
                <w:sz w:val="20"/>
              </w:rPr>
            </w:pPr>
          </w:p>
        </w:tc>
        <w:tc>
          <w:tcPr>
            <w:tcW w:w="551" w:type="pct"/>
            <w:vMerge/>
            <w:tcBorders>
              <w:top w:val="single" w:sz="4" w:space="0" w:color="000000"/>
              <w:left w:val="single" w:sz="4" w:space="0" w:color="000000"/>
              <w:bottom w:val="single" w:sz="4" w:space="0" w:color="000000"/>
              <w:right w:val="single" w:sz="4" w:space="0" w:color="000000"/>
            </w:tcBorders>
            <w:shd w:val="clear" w:color="auto" w:fill="auto"/>
            <w:vAlign w:val="center"/>
          </w:tcPr>
          <w:p w14:paraId="7BEB932A" w14:textId="77777777" w:rsidR="00D60162" w:rsidRDefault="00D60162">
            <w:pPr>
              <w:rPr>
                <w:rFonts w:ascii="方正楷体_GBK" w:eastAsia="方正楷体_GBK" w:hAnsi="方正楷体_GBK" w:cs="方正楷体_GBK" w:hint="eastAsia"/>
                <w:sz w:val="20"/>
              </w:rPr>
            </w:pPr>
          </w:p>
        </w:tc>
        <w:tc>
          <w:tcPr>
            <w:tcW w:w="556" w:type="pct"/>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14:paraId="1779AF77" w14:textId="77777777" w:rsidR="00D60162" w:rsidRDefault="00000000">
            <w:pPr>
              <w:spacing w:line="400" w:lineRule="exact"/>
              <w:ind w:firstLine="0"/>
              <w:jc w:val="center"/>
              <w:rPr>
                <w:rFonts w:ascii="方正楷体_GBK" w:eastAsia="方正楷体_GBK" w:hAnsi="方正楷体_GBK" w:cs="方正楷体_GBK" w:hint="eastAsia"/>
                <w:kern w:val="2"/>
                <w:sz w:val="28"/>
              </w:rPr>
            </w:pPr>
            <w:r>
              <w:rPr>
                <w:rFonts w:ascii="方正楷体_GBK" w:eastAsia="方正楷体_GBK" w:hAnsi="方正楷体_GBK" w:cs="方正楷体_GBK" w:hint="eastAsia"/>
                <w:kern w:val="2"/>
                <w:sz w:val="28"/>
                <w:szCs w:val="28"/>
                <w:lang w:bidi="ar"/>
              </w:rPr>
              <w:t>推动更新片区可持续运营</w:t>
            </w:r>
          </w:p>
        </w:tc>
        <w:tc>
          <w:tcPr>
            <w:tcW w:w="3579" w:type="pct"/>
            <w:tcBorders>
              <w:top w:val="single" w:sz="4" w:space="0" w:color="000000"/>
              <w:left w:val="single" w:sz="4" w:space="0" w:color="000000"/>
              <w:bottom w:val="single" w:sz="4" w:space="0" w:color="000000"/>
              <w:right w:val="single" w:sz="4" w:space="0" w:color="000000"/>
            </w:tcBorders>
            <w:shd w:val="clear" w:color="auto" w:fill="auto"/>
            <w:vAlign w:val="center"/>
          </w:tcPr>
          <w:p w14:paraId="324D2FCA" w14:textId="77777777" w:rsidR="00D60162" w:rsidRDefault="00000000">
            <w:pPr>
              <w:pStyle w:val="11"/>
              <w:widowControl/>
              <w:numPr>
                <w:ilvl w:val="255"/>
                <w:numId w:val="0"/>
              </w:numPr>
              <w:spacing w:line="400" w:lineRule="exact"/>
              <w:rPr>
                <w:rFonts w:ascii="Times New Roman" w:eastAsia="方正仿宋_GBK" w:hAnsi="Times New Roman"/>
                <w:b/>
                <w:bCs/>
                <w:sz w:val="28"/>
                <w:szCs w:val="28"/>
              </w:rPr>
            </w:pPr>
            <w:r>
              <w:rPr>
                <w:rFonts w:ascii="Times New Roman" w:eastAsia="方正仿宋_GBK" w:hAnsi="Times New Roman" w:hint="eastAsia"/>
                <w:b/>
                <w:bCs/>
                <w:sz w:val="28"/>
                <w:szCs w:val="28"/>
                <w:lang w:eastAsia="zh"/>
              </w:rPr>
              <w:t>10.</w:t>
            </w:r>
            <w:r>
              <w:rPr>
                <w:rFonts w:ascii="Times New Roman" w:eastAsia="方正仿宋_GBK" w:hAnsi="Times New Roman"/>
                <w:b/>
                <w:bCs/>
                <w:sz w:val="28"/>
                <w:szCs w:val="28"/>
              </w:rPr>
              <w:t>苏州市姑苏区</w:t>
            </w:r>
            <w:r>
              <w:rPr>
                <w:rFonts w:ascii="Times New Roman" w:eastAsia="方正仿宋_GBK" w:hAnsi="Times New Roman"/>
                <w:b/>
                <w:bCs/>
                <w:sz w:val="28"/>
                <w:szCs w:val="28"/>
              </w:rPr>
              <w:t>32</w:t>
            </w:r>
            <w:r>
              <w:rPr>
                <w:rFonts w:ascii="Times New Roman" w:eastAsia="方正仿宋_GBK" w:hAnsi="Times New Roman"/>
                <w:b/>
                <w:bCs/>
                <w:sz w:val="28"/>
                <w:szCs w:val="28"/>
              </w:rPr>
              <w:t>号街坊通过</w:t>
            </w:r>
            <w:proofErr w:type="gramStart"/>
            <w:r>
              <w:rPr>
                <w:rFonts w:ascii="Times New Roman" w:eastAsia="方正仿宋_GBK" w:hAnsi="Times New Roman" w:hint="eastAsia"/>
                <w:b/>
                <w:bCs/>
                <w:sz w:val="28"/>
                <w:szCs w:val="28"/>
              </w:rPr>
              <w:t>数智</w:t>
            </w:r>
            <w:r>
              <w:rPr>
                <w:rFonts w:ascii="Times New Roman" w:eastAsia="方正仿宋_GBK" w:hAnsi="Times New Roman"/>
                <w:b/>
                <w:bCs/>
                <w:sz w:val="28"/>
                <w:szCs w:val="28"/>
              </w:rPr>
              <w:t>管理</w:t>
            </w:r>
            <w:proofErr w:type="gramEnd"/>
            <w:r>
              <w:rPr>
                <w:rFonts w:ascii="Times New Roman" w:eastAsia="方正仿宋_GBK" w:hAnsi="Times New Roman"/>
                <w:b/>
                <w:bCs/>
                <w:sz w:val="28"/>
                <w:szCs w:val="28"/>
              </w:rPr>
              <w:t>平台赋能片区</w:t>
            </w:r>
            <w:r>
              <w:rPr>
                <w:rFonts w:ascii="Times New Roman" w:eastAsia="方正仿宋_GBK" w:hAnsi="Times New Roman" w:hint="eastAsia"/>
                <w:b/>
                <w:bCs/>
                <w:sz w:val="28"/>
                <w:szCs w:val="28"/>
              </w:rPr>
              <w:t>业态</w:t>
            </w:r>
            <w:r>
              <w:rPr>
                <w:rFonts w:ascii="Times New Roman" w:eastAsia="方正仿宋_GBK" w:hAnsi="Times New Roman"/>
                <w:b/>
                <w:bCs/>
                <w:sz w:val="28"/>
                <w:szCs w:val="28"/>
              </w:rPr>
              <w:t>升级。</w:t>
            </w:r>
            <w:r>
              <w:rPr>
                <w:rFonts w:ascii="Times New Roman" w:eastAsia="方正仿宋_GBK" w:hAnsi="Times New Roman"/>
                <w:sz w:val="28"/>
                <w:szCs w:val="28"/>
              </w:rPr>
              <w:t>搭建智慧管理平台，集成项目管理、安防监测、资产总</w:t>
            </w:r>
            <w:proofErr w:type="gramStart"/>
            <w:r>
              <w:rPr>
                <w:rFonts w:ascii="Times New Roman" w:eastAsia="方正仿宋_GBK" w:hAnsi="Times New Roman"/>
                <w:sz w:val="28"/>
                <w:szCs w:val="28"/>
              </w:rPr>
              <w:t>览</w:t>
            </w:r>
            <w:proofErr w:type="gramEnd"/>
            <w:r>
              <w:rPr>
                <w:rFonts w:ascii="Times New Roman" w:eastAsia="方正仿宋_GBK" w:hAnsi="Times New Roman"/>
                <w:sz w:val="28"/>
                <w:szCs w:val="28"/>
              </w:rPr>
              <w:t>、线上招商和云游街坊五大功能模块，并引入</w:t>
            </w:r>
            <w:r>
              <w:rPr>
                <w:rFonts w:ascii="Times New Roman" w:eastAsia="方正仿宋_GBK" w:hAnsi="Times New Roman"/>
                <w:sz w:val="28"/>
                <w:szCs w:val="28"/>
              </w:rPr>
              <w:t>AI</w:t>
            </w:r>
            <w:proofErr w:type="gramStart"/>
            <w:r>
              <w:rPr>
                <w:rFonts w:ascii="Times New Roman" w:eastAsia="方正仿宋_GBK" w:hAnsi="Times New Roman"/>
                <w:sz w:val="28"/>
                <w:szCs w:val="28"/>
              </w:rPr>
              <w:t>文旅智能</w:t>
            </w:r>
            <w:proofErr w:type="gramEnd"/>
            <w:r>
              <w:rPr>
                <w:rFonts w:ascii="Times New Roman" w:eastAsia="方正仿宋_GBK" w:hAnsi="Times New Roman"/>
                <w:sz w:val="28"/>
                <w:szCs w:val="28"/>
              </w:rPr>
              <w:t>体与招商小程序，前期赋能项目管理，后期</w:t>
            </w:r>
            <w:proofErr w:type="gramStart"/>
            <w:r>
              <w:rPr>
                <w:rFonts w:ascii="Times New Roman" w:eastAsia="方正仿宋_GBK" w:hAnsi="Times New Roman"/>
                <w:sz w:val="28"/>
                <w:szCs w:val="28"/>
              </w:rPr>
              <w:t>赋能文旅招商</w:t>
            </w:r>
            <w:proofErr w:type="gramEnd"/>
            <w:r>
              <w:rPr>
                <w:rFonts w:ascii="Times New Roman" w:eastAsia="方正仿宋_GBK" w:hAnsi="Times New Roman"/>
                <w:sz w:val="28"/>
                <w:szCs w:val="28"/>
              </w:rPr>
              <w:t>。平台目前已完成</w:t>
            </w:r>
            <w:r>
              <w:rPr>
                <w:rFonts w:ascii="Times New Roman" w:eastAsia="方正仿宋_GBK" w:hAnsi="Times New Roman"/>
                <w:sz w:val="28"/>
                <w:szCs w:val="28"/>
              </w:rPr>
              <w:t>demo</w:t>
            </w:r>
            <w:r>
              <w:rPr>
                <w:rFonts w:ascii="Times New Roman" w:eastAsia="方正仿宋_GBK" w:hAnsi="Times New Roman"/>
                <w:sz w:val="28"/>
                <w:szCs w:val="28"/>
              </w:rPr>
              <w:t>版本，正持续优化，以数据驱动片区更新保护</w:t>
            </w:r>
            <w:proofErr w:type="gramStart"/>
            <w:r>
              <w:rPr>
                <w:rFonts w:ascii="Times New Roman" w:eastAsia="方正仿宋_GBK" w:hAnsi="Times New Roman"/>
                <w:sz w:val="28"/>
                <w:szCs w:val="28"/>
              </w:rPr>
              <w:t>与文旅招商</w:t>
            </w:r>
            <w:proofErr w:type="gramEnd"/>
            <w:r>
              <w:rPr>
                <w:rFonts w:ascii="Times New Roman" w:eastAsia="方正仿宋_GBK" w:hAnsi="Times New Roman"/>
                <w:sz w:val="28"/>
                <w:szCs w:val="28"/>
              </w:rPr>
              <w:t>，未来经验将推广至苏州古城</w:t>
            </w:r>
            <w:r>
              <w:rPr>
                <w:rFonts w:ascii="Times New Roman" w:eastAsia="方正仿宋_GBK" w:hAnsi="Times New Roman"/>
                <w:sz w:val="28"/>
                <w:szCs w:val="28"/>
              </w:rPr>
              <w:t>19.2</w:t>
            </w:r>
            <w:r>
              <w:rPr>
                <w:rFonts w:ascii="Times New Roman" w:eastAsia="方正仿宋_GBK" w:hAnsi="Times New Roman"/>
                <w:sz w:val="28"/>
                <w:szCs w:val="28"/>
              </w:rPr>
              <w:t>平方公里范围。</w:t>
            </w:r>
          </w:p>
        </w:tc>
      </w:tr>
      <w:tr w:rsidR="00D60162" w14:paraId="369FF677" w14:textId="77777777">
        <w:trPr>
          <w:trHeight w:val="3040"/>
          <w:jc w:val="center"/>
        </w:trPr>
        <w:tc>
          <w:tcPr>
            <w:tcW w:w="313" w:type="pct"/>
            <w:vMerge/>
            <w:tcBorders>
              <w:top w:val="single" w:sz="4" w:space="0" w:color="000000"/>
              <w:left w:val="single" w:sz="4" w:space="0" w:color="000000"/>
              <w:bottom w:val="single" w:sz="4" w:space="0" w:color="000000"/>
              <w:right w:val="single" w:sz="4" w:space="0" w:color="000000"/>
            </w:tcBorders>
            <w:shd w:val="clear" w:color="auto" w:fill="auto"/>
            <w:vAlign w:val="center"/>
          </w:tcPr>
          <w:p w14:paraId="6895C9AF" w14:textId="77777777" w:rsidR="00D60162" w:rsidRDefault="00D60162">
            <w:pPr>
              <w:rPr>
                <w:rFonts w:ascii="方正楷体_GBK" w:eastAsia="方正楷体_GBK" w:hAnsi="方正楷体_GBK" w:cs="方正楷体_GBK" w:hint="eastAsia"/>
                <w:sz w:val="20"/>
              </w:rPr>
            </w:pPr>
          </w:p>
        </w:tc>
        <w:tc>
          <w:tcPr>
            <w:tcW w:w="551" w:type="pct"/>
            <w:vMerge/>
            <w:tcBorders>
              <w:top w:val="single" w:sz="4" w:space="0" w:color="000000"/>
              <w:left w:val="single" w:sz="4" w:space="0" w:color="000000"/>
              <w:bottom w:val="single" w:sz="4" w:space="0" w:color="000000"/>
              <w:right w:val="single" w:sz="4" w:space="0" w:color="000000"/>
            </w:tcBorders>
            <w:shd w:val="clear" w:color="auto" w:fill="auto"/>
            <w:vAlign w:val="center"/>
          </w:tcPr>
          <w:p w14:paraId="5567247A" w14:textId="77777777" w:rsidR="00D60162" w:rsidRDefault="00D60162">
            <w:pPr>
              <w:rPr>
                <w:rFonts w:ascii="方正楷体_GBK" w:eastAsia="方正楷体_GBK" w:hAnsi="方正楷体_GBK" w:cs="方正楷体_GBK" w:hint="eastAsia"/>
                <w:sz w:val="20"/>
              </w:rPr>
            </w:pPr>
          </w:p>
        </w:tc>
        <w:tc>
          <w:tcPr>
            <w:tcW w:w="55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14:paraId="70EF375B" w14:textId="77777777" w:rsidR="00D60162" w:rsidRDefault="00D60162">
            <w:pPr>
              <w:rPr>
                <w:rFonts w:ascii="方正楷体_GBK" w:eastAsia="方正楷体_GBK" w:hAnsi="方正楷体_GBK" w:cs="方正楷体_GBK" w:hint="eastAsia"/>
                <w:sz w:val="20"/>
              </w:rPr>
            </w:pPr>
          </w:p>
        </w:tc>
        <w:tc>
          <w:tcPr>
            <w:tcW w:w="3579" w:type="pct"/>
            <w:tcBorders>
              <w:top w:val="single" w:sz="4" w:space="0" w:color="000000"/>
              <w:left w:val="single" w:sz="4" w:space="0" w:color="000000"/>
              <w:bottom w:val="single" w:sz="4" w:space="0" w:color="000000"/>
              <w:right w:val="single" w:sz="4" w:space="0" w:color="000000"/>
            </w:tcBorders>
            <w:shd w:val="clear" w:color="auto" w:fill="auto"/>
            <w:vAlign w:val="center"/>
          </w:tcPr>
          <w:p w14:paraId="242B9280" w14:textId="77777777" w:rsidR="00D60162" w:rsidRDefault="00000000">
            <w:pPr>
              <w:pStyle w:val="11"/>
              <w:widowControl/>
              <w:numPr>
                <w:ilvl w:val="255"/>
                <w:numId w:val="0"/>
              </w:numPr>
              <w:spacing w:line="400" w:lineRule="exact"/>
              <w:rPr>
                <w:rFonts w:ascii="Times New Roman" w:eastAsia="方正仿宋_GBK" w:hAnsi="Times New Roman"/>
                <w:b/>
                <w:bCs/>
                <w:sz w:val="28"/>
                <w:szCs w:val="28"/>
              </w:rPr>
            </w:pPr>
            <w:r>
              <w:rPr>
                <w:rFonts w:ascii="Times New Roman" w:eastAsia="方正仿宋_GBK" w:hAnsi="Times New Roman" w:hint="eastAsia"/>
                <w:b/>
                <w:bCs/>
                <w:sz w:val="28"/>
                <w:szCs w:val="28"/>
                <w:lang w:eastAsia="zh"/>
              </w:rPr>
              <w:t>11.</w:t>
            </w:r>
            <w:r>
              <w:rPr>
                <w:rFonts w:ascii="Times New Roman" w:eastAsia="方正仿宋_GBK" w:hAnsi="Times New Roman"/>
                <w:b/>
                <w:bCs/>
                <w:sz w:val="28"/>
                <w:szCs w:val="28"/>
              </w:rPr>
              <w:t>张家港市建立老旧小区物业</w:t>
            </w:r>
            <w:r>
              <w:rPr>
                <w:rFonts w:ascii="Times New Roman" w:eastAsia="方正仿宋_GBK" w:hAnsi="Times New Roman" w:hint="eastAsia"/>
                <w:b/>
                <w:bCs/>
                <w:sz w:val="28"/>
                <w:szCs w:val="28"/>
              </w:rPr>
              <w:t>管理的</w:t>
            </w:r>
            <w:r>
              <w:rPr>
                <w:rFonts w:ascii="Times New Roman" w:eastAsia="方正仿宋_GBK" w:hAnsi="Times New Roman"/>
                <w:b/>
                <w:bCs/>
                <w:sz w:val="28"/>
                <w:szCs w:val="28"/>
              </w:rPr>
              <w:t>片区统筹机制。</w:t>
            </w:r>
            <w:r>
              <w:rPr>
                <w:rFonts w:ascii="Times New Roman" w:eastAsia="方正仿宋_GBK" w:hAnsi="Times New Roman"/>
                <w:sz w:val="28"/>
                <w:szCs w:val="28"/>
              </w:rPr>
              <w:t>金港街道中兴片采用</w:t>
            </w:r>
            <w:r>
              <w:rPr>
                <w:rFonts w:ascii="Times New Roman" w:eastAsia="方正仿宋_GBK" w:hAnsi="Times New Roman"/>
                <w:sz w:val="28"/>
                <w:szCs w:val="28"/>
              </w:rPr>
              <w:t>“</w:t>
            </w:r>
            <w:r>
              <w:rPr>
                <w:rFonts w:ascii="Times New Roman" w:eastAsia="方正仿宋_GBK" w:hAnsi="Times New Roman"/>
                <w:sz w:val="28"/>
                <w:szCs w:val="28"/>
              </w:rPr>
              <w:t>连片打包</w:t>
            </w:r>
            <w:r>
              <w:rPr>
                <w:rFonts w:ascii="Times New Roman" w:eastAsia="方正仿宋_GBK" w:hAnsi="Times New Roman"/>
                <w:sz w:val="28"/>
                <w:szCs w:val="28"/>
              </w:rPr>
              <w:t>”</w:t>
            </w:r>
            <w:r>
              <w:rPr>
                <w:rFonts w:ascii="Times New Roman" w:eastAsia="方正仿宋_GBK" w:hAnsi="Times New Roman"/>
                <w:sz w:val="28"/>
                <w:szCs w:val="28"/>
              </w:rPr>
              <w:t>模式整合</w:t>
            </w:r>
            <w:r>
              <w:rPr>
                <w:rFonts w:ascii="Times New Roman" w:eastAsia="方正仿宋_GBK" w:hAnsi="Times New Roman"/>
                <w:sz w:val="28"/>
                <w:szCs w:val="28"/>
              </w:rPr>
              <w:t>6</w:t>
            </w:r>
            <w:r>
              <w:rPr>
                <w:rFonts w:ascii="Times New Roman" w:eastAsia="方正仿宋_GBK" w:hAnsi="Times New Roman"/>
                <w:sz w:val="28"/>
                <w:szCs w:val="28"/>
              </w:rPr>
              <w:t>个安置小区和</w:t>
            </w:r>
            <w:r>
              <w:rPr>
                <w:rFonts w:ascii="Times New Roman" w:eastAsia="方正仿宋_GBK" w:hAnsi="Times New Roman"/>
                <w:sz w:val="28"/>
                <w:szCs w:val="28"/>
              </w:rPr>
              <w:t>7</w:t>
            </w:r>
            <w:r>
              <w:rPr>
                <w:rFonts w:ascii="Times New Roman" w:eastAsia="方正仿宋_GBK" w:hAnsi="Times New Roman"/>
                <w:sz w:val="28"/>
                <w:szCs w:val="28"/>
              </w:rPr>
              <w:t>个老旧小区，吸引社会资本解决</w:t>
            </w:r>
            <w:proofErr w:type="gramStart"/>
            <w:r>
              <w:rPr>
                <w:rFonts w:ascii="Times New Roman" w:eastAsia="方正仿宋_GBK" w:hAnsi="Times New Roman"/>
                <w:sz w:val="28"/>
                <w:szCs w:val="28"/>
              </w:rPr>
              <w:t>单小区</w:t>
            </w:r>
            <w:proofErr w:type="gramEnd"/>
            <w:r>
              <w:rPr>
                <w:rFonts w:ascii="Times New Roman" w:eastAsia="方正仿宋_GBK" w:hAnsi="Times New Roman"/>
                <w:sz w:val="28"/>
                <w:szCs w:val="28"/>
              </w:rPr>
              <w:t>运营难题。以党建联盟统筹服务资源，实现服务拓展增项且政府减支约</w:t>
            </w:r>
            <w:r>
              <w:rPr>
                <w:rFonts w:ascii="Times New Roman" w:eastAsia="方正仿宋_GBK" w:hAnsi="Times New Roman"/>
                <w:sz w:val="28"/>
                <w:szCs w:val="28"/>
              </w:rPr>
              <w:t>20%</w:t>
            </w:r>
            <w:r>
              <w:rPr>
                <w:rFonts w:ascii="Times New Roman" w:eastAsia="方正仿宋_GBK" w:hAnsi="Times New Roman"/>
                <w:sz w:val="28"/>
                <w:szCs w:val="28"/>
              </w:rPr>
              <w:t>；街道保留相关物业补贴政策，并将由街道统筹负责的高频便民服务项目切割至物业服务企业，建立报、审、办绿色通道，实现楼道灯更换效率从</w:t>
            </w:r>
            <w:r>
              <w:rPr>
                <w:rFonts w:ascii="Times New Roman" w:eastAsia="方正仿宋_GBK" w:hAnsi="Times New Roman"/>
                <w:sz w:val="28"/>
                <w:szCs w:val="28"/>
              </w:rPr>
              <w:t>15</w:t>
            </w:r>
            <w:r>
              <w:rPr>
                <w:rFonts w:ascii="Times New Roman" w:eastAsia="方正仿宋_GBK" w:hAnsi="Times New Roman"/>
                <w:sz w:val="28"/>
                <w:szCs w:val="28"/>
              </w:rPr>
              <w:t>天缩至</w:t>
            </w:r>
            <w:r>
              <w:rPr>
                <w:rFonts w:ascii="Times New Roman" w:eastAsia="方正仿宋_GBK" w:hAnsi="Times New Roman"/>
                <w:sz w:val="28"/>
                <w:szCs w:val="28"/>
              </w:rPr>
              <w:t>3</w:t>
            </w:r>
            <w:r>
              <w:rPr>
                <w:rFonts w:ascii="Times New Roman" w:eastAsia="方正仿宋_GBK" w:hAnsi="Times New Roman"/>
                <w:sz w:val="28"/>
                <w:szCs w:val="28"/>
              </w:rPr>
              <w:t>天；通过三方联席会议协调问题，逐步引导物业拓展增值服务，形成</w:t>
            </w:r>
            <w:r>
              <w:rPr>
                <w:rFonts w:ascii="Times New Roman" w:eastAsia="方正仿宋_GBK" w:hAnsi="Times New Roman"/>
                <w:sz w:val="28"/>
                <w:szCs w:val="28"/>
              </w:rPr>
              <w:t>“</w:t>
            </w:r>
            <w:r>
              <w:rPr>
                <w:rFonts w:ascii="Times New Roman" w:eastAsia="方正仿宋_GBK" w:hAnsi="Times New Roman"/>
                <w:sz w:val="28"/>
                <w:szCs w:val="28"/>
              </w:rPr>
              <w:t>基础服务保基本、增值服务创收益</w:t>
            </w:r>
            <w:r>
              <w:rPr>
                <w:rFonts w:ascii="Times New Roman" w:eastAsia="方正仿宋_GBK" w:hAnsi="Times New Roman"/>
                <w:sz w:val="28"/>
                <w:szCs w:val="28"/>
              </w:rPr>
              <w:t>”</w:t>
            </w:r>
            <w:r>
              <w:rPr>
                <w:rFonts w:ascii="Times New Roman" w:eastAsia="方正仿宋_GBK" w:hAnsi="Times New Roman"/>
                <w:sz w:val="28"/>
                <w:szCs w:val="28"/>
              </w:rPr>
              <w:t>的良性循环。</w:t>
            </w:r>
          </w:p>
        </w:tc>
      </w:tr>
      <w:tr w:rsidR="00D60162" w14:paraId="568D9A5A" w14:textId="77777777">
        <w:trPr>
          <w:jc w:val="center"/>
        </w:trPr>
        <w:tc>
          <w:tcPr>
            <w:tcW w:w="313" w:type="pct"/>
            <w:vMerge/>
            <w:tcBorders>
              <w:top w:val="single" w:sz="4" w:space="0" w:color="000000"/>
              <w:left w:val="single" w:sz="4" w:space="0" w:color="000000"/>
              <w:bottom w:val="single" w:sz="4" w:space="0" w:color="000000"/>
              <w:right w:val="single" w:sz="4" w:space="0" w:color="000000"/>
            </w:tcBorders>
            <w:shd w:val="clear" w:color="auto" w:fill="auto"/>
            <w:vAlign w:val="center"/>
          </w:tcPr>
          <w:p w14:paraId="31BF1563" w14:textId="77777777" w:rsidR="00D60162" w:rsidRDefault="00D60162">
            <w:pPr>
              <w:rPr>
                <w:rFonts w:ascii="方正楷体_GBK" w:eastAsia="方正楷体_GBK" w:hAnsi="方正楷体_GBK" w:cs="方正楷体_GBK" w:hint="eastAsia"/>
                <w:sz w:val="20"/>
              </w:rPr>
            </w:pPr>
          </w:p>
        </w:tc>
        <w:tc>
          <w:tcPr>
            <w:tcW w:w="551" w:type="pct"/>
            <w:vMerge/>
            <w:tcBorders>
              <w:top w:val="single" w:sz="4" w:space="0" w:color="000000"/>
              <w:left w:val="single" w:sz="4" w:space="0" w:color="000000"/>
              <w:bottom w:val="single" w:sz="4" w:space="0" w:color="000000"/>
              <w:right w:val="single" w:sz="4" w:space="0" w:color="000000"/>
            </w:tcBorders>
            <w:shd w:val="clear" w:color="auto" w:fill="auto"/>
            <w:vAlign w:val="center"/>
          </w:tcPr>
          <w:p w14:paraId="0AA44EDC" w14:textId="77777777" w:rsidR="00D60162" w:rsidRDefault="00D60162">
            <w:pPr>
              <w:rPr>
                <w:rFonts w:ascii="方正楷体_GBK" w:eastAsia="方正楷体_GBK" w:hAnsi="方正楷体_GBK" w:cs="方正楷体_GBK" w:hint="eastAsia"/>
                <w:sz w:val="20"/>
              </w:rPr>
            </w:pPr>
          </w:p>
        </w:tc>
        <w:tc>
          <w:tcPr>
            <w:tcW w:w="55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14:paraId="5C7203DE" w14:textId="77777777" w:rsidR="00D60162" w:rsidRDefault="00D60162">
            <w:pPr>
              <w:rPr>
                <w:rFonts w:ascii="方正楷体_GBK" w:eastAsia="方正楷体_GBK" w:hAnsi="方正楷体_GBK" w:cs="方正楷体_GBK" w:hint="eastAsia"/>
                <w:sz w:val="20"/>
              </w:rPr>
            </w:pPr>
          </w:p>
        </w:tc>
        <w:tc>
          <w:tcPr>
            <w:tcW w:w="3579" w:type="pct"/>
            <w:tcBorders>
              <w:top w:val="single" w:sz="4" w:space="0" w:color="000000"/>
              <w:left w:val="single" w:sz="4" w:space="0" w:color="000000"/>
              <w:bottom w:val="single" w:sz="4" w:space="0" w:color="000000"/>
              <w:right w:val="single" w:sz="4" w:space="0" w:color="000000"/>
            </w:tcBorders>
            <w:shd w:val="clear" w:color="auto" w:fill="auto"/>
            <w:vAlign w:val="center"/>
          </w:tcPr>
          <w:p w14:paraId="1D0B5376" w14:textId="77777777" w:rsidR="00D60162" w:rsidRDefault="00000000">
            <w:pPr>
              <w:pStyle w:val="11"/>
              <w:widowControl/>
              <w:numPr>
                <w:ilvl w:val="255"/>
                <w:numId w:val="0"/>
              </w:numPr>
              <w:spacing w:line="400" w:lineRule="exact"/>
              <w:rPr>
                <w:rFonts w:ascii="Times New Roman" w:eastAsia="方正仿宋_GBK" w:hAnsi="Times New Roman"/>
                <w:b/>
                <w:bCs/>
                <w:sz w:val="28"/>
                <w:szCs w:val="28"/>
              </w:rPr>
            </w:pPr>
            <w:r>
              <w:rPr>
                <w:rFonts w:ascii="Times New Roman" w:eastAsia="方正仿宋_GBK" w:hAnsi="Times New Roman" w:hint="eastAsia"/>
                <w:b/>
                <w:bCs/>
                <w:sz w:val="28"/>
                <w:szCs w:val="28"/>
                <w:lang w:eastAsia="zh"/>
              </w:rPr>
              <w:t>12.</w:t>
            </w:r>
            <w:r>
              <w:rPr>
                <w:rFonts w:ascii="Times New Roman" w:eastAsia="方正仿宋_GBK" w:hAnsi="Times New Roman"/>
                <w:b/>
                <w:bCs/>
                <w:sz w:val="28"/>
                <w:szCs w:val="28"/>
              </w:rPr>
              <w:t>兴化市非遗活化传承推动历史文化街区保护更新。</w:t>
            </w:r>
            <w:r>
              <w:rPr>
                <w:rFonts w:ascii="Times New Roman" w:eastAsia="方正仿宋_GBK" w:hAnsi="Times New Roman"/>
                <w:sz w:val="28"/>
                <w:szCs w:val="28"/>
              </w:rPr>
              <w:t>东门历史文化街区保护与更新结合文保单位、历史建筑修缮，吸引传统技艺、非遗项目、老字号设立展示和传承场所，推动非遗活态传承。全国重点文物保护单位</w:t>
            </w:r>
            <w:proofErr w:type="gramStart"/>
            <w:r>
              <w:rPr>
                <w:rFonts w:ascii="Times New Roman" w:eastAsia="方正仿宋_GBK" w:hAnsi="Times New Roman"/>
                <w:sz w:val="28"/>
                <w:szCs w:val="28"/>
              </w:rPr>
              <w:t>上池斋</w:t>
            </w:r>
            <w:proofErr w:type="gramEnd"/>
            <w:r>
              <w:rPr>
                <w:rFonts w:ascii="Times New Roman" w:eastAsia="方正仿宋_GBK" w:hAnsi="Times New Roman"/>
                <w:sz w:val="28"/>
                <w:szCs w:val="28"/>
              </w:rPr>
              <w:t>药店，延续制药、抓药等传统工艺、研发香囊等消费产品，让</w:t>
            </w:r>
            <w:r>
              <w:rPr>
                <w:rFonts w:ascii="Times New Roman" w:eastAsia="方正仿宋_GBK" w:hAnsi="Times New Roman"/>
                <w:sz w:val="28"/>
                <w:szCs w:val="28"/>
              </w:rPr>
              <w:t>“</w:t>
            </w:r>
            <w:r>
              <w:rPr>
                <w:rFonts w:ascii="Times New Roman" w:eastAsia="方正仿宋_GBK" w:hAnsi="Times New Roman"/>
                <w:sz w:val="28"/>
                <w:szCs w:val="28"/>
              </w:rPr>
              <w:t>老字号</w:t>
            </w:r>
            <w:r>
              <w:rPr>
                <w:rFonts w:ascii="Times New Roman" w:eastAsia="方正仿宋_GBK" w:hAnsi="Times New Roman"/>
                <w:sz w:val="28"/>
                <w:szCs w:val="28"/>
              </w:rPr>
              <w:t>”</w:t>
            </w:r>
            <w:r>
              <w:rPr>
                <w:rFonts w:ascii="Times New Roman" w:eastAsia="方正仿宋_GBK" w:hAnsi="Times New Roman"/>
                <w:sz w:val="28"/>
                <w:szCs w:val="28"/>
              </w:rPr>
              <w:t>成为</w:t>
            </w:r>
            <w:r>
              <w:rPr>
                <w:rFonts w:ascii="Times New Roman" w:eastAsia="方正仿宋_GBK" w:hAnsi="Times New Roman"/>
                <w:sz w:val="28"/>
                <w:szCs w:val="28"/>
              </w:rPr>
              <w:t>“</w:t>
            </w:r>
            <w:r>
              <w:rPr>
                <w:rFonts w:ascii="Times New Roman" w:eastAsia="方正仿宋_GBK" w:hAnsi="Times New Roman"/>
                <w:sz w:val="28"/>
                <w:szCs w:val="28"/>
              </w:rPr>
              <w:t>新国潮</w:t>
            </w:r>
            <w:r>
              <w:rPr>
                <w:rFonts w:ascii="Times New Roman" w:eastAsia="方正仿宋_GBK" w:hAnsi="Times New Roman"/>
                <w:sz w:val="28"/>
                <w:szCs w:val="28"/>
              </w:rPr>
              <w:t>”</w:t>
            </w:r>
            <w:r>
              <w:rPr>
                <w:rFonts w:ascii="Times New Roman" w:eastAsia="方正仿宋_GBK" w:hAnsi="Times New Roman"/>
                <w:sz w:val="28"/>
                <w:szCs w:val="28"/>
              </w:rPr>
              <w:t>；省级文物保护单位</w:t>
            </w:r>
            <w:proofErr w:type="gramStart"/>
            <w:r>
              <w:rPr>
                <w:rFonts w:ascii="Times New Roman" w:eastAsia="方正仿宋_GBK" w:hAnsi="Times New Roman"/>
                <w:sz w:val="28"/>
                <w:szCs w:val="28"/>
              </w:rPr>
              <w:t>赵海仙洋楼</w:t>
            </w:r>
            <w:proofErr w:type="gramEnd"/>
            <w:r>
              <w:rPr>
                <w:rFonts w:ascii="Times New Roman" w:eastAsia="方正仿宋_GBK" w:hAnsi="Times New Roman"/>
                <w:sz w:val="28"/>
                <w:szCs w:val="28"/>
              </w:rPr>
              <w:t>成为兴化中医药博物馆，兴化籍名中医坐诊活态展示</w:t>
            </w:r>
            <w:r>
              <w:rPr>
                <w:rFonts w:ascii="Times New Roman" w:eastAsia="方正仿宋_GBK" w:hAnsi="Times New Roman"/>
                <w:sz w:val="28"/>
                <w:szCs w:val="28"/>
              </w:rPr>
              <w:t>“</w:t>
            </w:r>
            <w:r>
              <w:rPr>
                <w:rFonts w:ascii="Times New Roman" w:eastAsia="方正仿宋_GBK" w:hAnsi="Times New Roman"/>
                <w:sz w:val="28"/>
                <w:szCs w:val="28"/>
              </w:rPr>
              <w:t>兴化</w:t>
            </w:r>
            <w:proofErr w:type="gramStart"/>
            <w:r>
              <w:rPr>
                <w:rFonts w:ascii="Times New Roman" w:eastAsia="方正仿宋_GBK" w:hAnsi="Times New Roman"/>
                <w:sz w:val="28"/>
                <w:szCs w:val="28"/>
              </w:rPr>
              <w:t>医</w:t>
            </w:r>
            <w:proofErr w:type="gramEnd"/>
            <w:r>
              <w:rPr>
                <w:rFonts w:ascii="Times New Roman" w:eastAsia="方正仿宋_GBK" w:hAnsi="Times New Roman"/>
                <w:sz w:val="28"/>
                <w:szCs w:val="28"/>
              </w:rPr>
              <w:t>派</w:t>
            </w:r>
            <w:r>
              <w:rPr>
                <w:rFonts w:ascii="Times New Roman" w:eastAsia="方正仿宋_GBK" w:hAnsi="Times New Roman"/>
                <w:sz w:val="28"/>
                <w:szCs w:val="28"/>
              </w:rPr>
              <w:t>”</w:t>
            </w:r>
            <w:r>
              <w:rPr>
                <w:rFonts w:ascii="Times New Roman" w:eastAsia="方正仿宋_GBK" w:hAnsi="Times New Roman"/>
                <w:sz w:val="28"/>
                <w:szCs w:val="28"/>
              </w:rPr>
              <w:t>；省级文物保护单位成氏宅第设立非遗文</w:t>
            </w:r>
            <w:proofErr w:type="gramStart"/>
            <w:r>
              <w:rPr>
                <w:rFonts w:ascii="Times New Roman" w:eastAsia="方正仿宋_GBK" w:hAnsi="Times New Roman"/>
                <w:sz w:val="28"/>
                <w:szCs w:val="28"/>
              </w:rPr>
              <w:t>化展示</w:t>
            </w:r>
            <w:proofErr w:type="gramEnd"/>
            <w:r>
              <w:rPr>
                <w:rFonts w:ascii="Times New Roman" w:eastAsia="方正仿宋_GBK" w:hAnsi="Times New Roman"/>
                <w:sz w:val="28"/>
                <w:szCs w:val="28"/>
              </w:rPr>
              <w:t>馆，集中展现兴化木船制造、茅山号子等国家级非遗技艺。</w:t>
            </w:r>
          </w:p>
        </w:tc>
      </w:tr>
      <w:tr w:rsidR="00D60162" w14:paraId="53BE0F3C" w14:textId="77777777">
        <w:trPr>
          <w:jc w:val="center"/>
        </w:trPr>
        <w:tc>
          <w:tcPr>
            <w:tcW w:w="313" w:type="pct"/>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14:paraId="11674949" w14:textId="77777777" w:rsidR="00D60162" w:rsidRDefault="00000000">
            <w:pPr>
              <w:spacing w:line="400" w:lineRule="exact"/>
              <w:ind w:firstLine="0"/>
              <w:jc w:val="center"/>
              <w:rPr>
                <w:rFonts w:ascii="方正楷体_GBK" w:eastAsia="方正楷体_GBK" w:hAnsi="方正楷体_GBK" w:cs="方正楷体_GBK" w:hint="eastAsia"/>
                <w:kern w:val="2"/>
                <w:sz w:val="28"/>
                <w:lang w:bidi="ar"/>
              </w:rPr>
            </w:pPr>
            <w:r>
              <w:rPr>
                <w:rFonts w:ascii="方正楷体_GBK" w:eastAsia="方正楷体_GBK" w:hAnsi="方正楷体_GBK" w:cs="方正楷体_GBK" w:hint="eastAsia"/>
                <w:kern w:val="2"/>
                <w:sz w:val="28"/>
                <w:szCs w:val="28"/>
                <w:lang w:bidi="ar"/>
              </w:rPr>
              <w:lastRenderedPageBreak/>
              <w:t>三</w:t>
            </w:r>
          </w:p>
        </w:tc>
        <w:tc>
          <w:tcPr>
            <w:tcW w:w="551" w:type="pct"/>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14:paraId="42734026" w14:textId="77777777" w:rsidR="00D60162" w:rsidRDefault="00000000">
            <w:pPr>
              <w:spacing w:line="400" w:lineRule="exact"/>
              <w:ind w:firstLine="0"/>
              <w:jc w:val="center"/>
              <w:rPr>
                <w:rFonts w:ascii="方正楷体_GBK" w:eastAsia="方正楷体_GBK" w:hAnsi="方正楷体_GBK" w:cs="方正楷体_GBK" w:hint="eastAsia"/>
                <w:kern w:val="2"/>
                <w:sz w:val="28"/>
                <w:lang w:bidi="ar"/>
              </w:rPr>
            </w:pPr>
            <w:r>
              <w:rPr>
                <w:rFonts w:ascii="方正楷体_GBK" w:eastAsia="方正楷体_GBK" w:hAnsi="方正楷体_GBK" w:cs="方正楷体_GBK" w:hint="eastAsia"/>
                <w:kern w:val="2"/>
                <w:sz w:val="28"/>
                <w:szCs w:val="28"/>
                <w:lang w:bidi="ar"/>
              </w:rPr>
              <w:t>建立城市更新技术支撑体系</w:t>
            </w:r>
          </w:p>
        </w:tc>
        <w:tc>
          <w:tcPr>
            <w:tcW w:w="556" w:type="pct"/>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14:paraId="5A70C858" w14:textId="77777777" w:rsidR="00D60162" w:rsidRDefault="00000000">
            <w:pPr>
              <w:spacing w:line="400" w:lineRule="exact"/>
              <w:ind w:firstLine="0"/>
              <w:jc w:val="center"/>
              <w:rPr>
                <w:rFonts w:ascii="方正楷体_GBK" w:eastAsia="方正楷体_GBK" w:hAnsi="方正楷体_GBK" w:cs="方正楷体_GBK" w:hint="eastAsia"/>
                <w:kern w:val="2"/>
                <w:sz w:val="28"/>
                <w:lang w:bidi="ar"/>
              </w:rPr>
            </w:pPr>
            <w:r>
              <w:rPr>
                <w:rFonts w:ascii="方正楷体_GBK" w:eastAsia="方正楷体_GBK" w:hAnsi="方正楷体_GBK" w:cs="方正楷体_GBK" w:hint="eastAsia"/>
                <w:kern w:val="2"/>
                <w:sz w:val="28"/>
                <w:szCs w:val="28"/>
                <w:lang w:bidi="ar"/>
              </w:rPr>
              <w:t>健全更新规划实施体系</w:t>
            </w:r>
          </w:p>
        </w:tc>
        <w:tc>
          <w:tcPr>
            <w:tcW w:w="3579" w:type="pct"/>
            <w:tcBorders>
              <w:top w:val="single" w:sz="4" w:space="0" w:color="000000"/>
              <w:left w:val="single" w:sz="4" w:space="0" w:color="000000"/>
              <w:bottom w:val="single" w:sz="4" w:space="0" w:color="000000"/>
              <w:right w:val="single" w:sz="4" w:space="0" w:color="000000"/>
            </w:tcBorders>
            <w:shd w:val="clear" w:color="auto" w:fill="auto"/>
            <w:vAlign w:val="center"/>
          </w:tcPr>
          <w:p w14:paraId="33C2D04E" w14:textId="77777777" w:rsidR="00D60162" w:rsidRDefault="00000000">
            <w:pPr>
              <w:pStyle w:val="11"/>
              <w:widowControl/>
              <w:numPr>
                <w:ilvl w:val="255"/>
                <w:numId w:val="0"/>
              </w:numPr>
              <w:spacing w:line="400" w:lineRule="exact"/>
              <w:rPr>
                <w:rFonts w:ascii="Times New Roman" w:eastAsia="方正仿宋_GBK" w:hAnsi="Times New Roman"/>
                <w:sz w:val="28"/>
                <w:szCs w:val="28"/>
              </w:rPr>
            </w:pPr>
            <w:r>
              <w:rPr>
                <w:rFonts w:ascii="Times New Roman" w:eastAsia="方正仿宋_GBK" w:hAnsi="Times New Roman" w:hint="eastAsia"/>
                <w:b/>
                <w:bCs/>
                <w:sz w:val="28"/>
                <w:szCs w:val="28"/>
                <w:lang w:eastAsia="zh"/>
              </w:rPr>
              <w:t>13.</w:t>
            </w:r>
            <w:r>
              <w:rPr>
                <w:rFonts w:ascii="Times New Roman" w:eastAsia="方正仿宋_GBK" w:hAnsi="Times New Roman"/>
                <w:b/>
                <w:bCs/>
                <w:sz w:val="28"/>
                <w:szCs w:val="28"/>
              </w:rPr>
              <w:t>南京市深化单元（片区）体检评估、策划及项目库管理。</w:t>
            </w:r>
            <w:r>
              <w:rPr>
                <w:rFonts w:ascii="Times New Roman" w:eastAsia="方正仿宋_GBK" w:hAnsi="Times New Roman"/>
                <w:sz w:val="28"/>
                <w:szCs w:val="28"/>
              </w:rPr>
              <w:t>制定《城市更新单元体检评估和策划技术指引》，强化单元（片区）体检的数据调查、指标体系、需求调查等内容，明确单元（片区）策划的流程、编制内容、策划内容和成果构成等要求，为单元（片区）实施提供依据。出台《南京市城市更新项目库管理办法》，建立申请入库、动态调整、联动管理机制，滚动开展项目储备实施。</w:t>
            </w:r>
          </w:p>
        </w:tc>
      </w:tr>
      <w:tr w:rsidR="00D60162" w14:paraId="6CDCD410" w14:textId="77777777">
        <w:trPr>
          <w:trHeight w:val="1817"/>
          <w:jc w:val="center"/>
        </w:trPr>
        <w:tc>
          <w:tcPr>
            <w:tcW w:w="313" w:type="pct"/>
            <w:vMerge/>
            <w:tcBorders>
              <w:top w:val="single" w:sz="4" w:space="0" w:color="000000"/>
              <w:left w:val="single" w:sz="4" w:space="0" w:color="000000"/>
              <w:bottom w:val="single" w:sz="4" w:space="0" w:color="000000"/>
              <w:right w:val="single" w:sz="4" w:space="0" w:color="000000"/>
            </w:tcBorders>
            <w:shd w:val="clear" w:color="auto" w:fill="auto"/>
            <w:vAlign w:val="center"/>
          </w:tcPr>
          <w:p w14:paraId="3D5B54E7" w14:textId="77777777" w:rsidR="00D60162" w:rsidRDefault="00D60162">
            <w:pPr>
              <w:rPr>
                <w:rFonts w:ascii="方正楷体_GBK" w:eastAsia="方正楷体_GBK" w:hAnsi="方正楷体_GBK" w:cs="方正楷体_GBK" w:hint="eastAsia"/>
                <w:sz w:val="20"/>
              </w:rPr>
            </w:pPr>
          </w:p>
        </w:tc>
        <w:tc>
          <w:tcPr>
            <w:tcW w:w="551" w:type="pct"/>
            <w:vMerge/>
            <w:tcBorders>
              <w:top w:val="single" w:sz="4" w:space="0" w:color="000000"/>
              <w:left w:val="single" w:sz="4" w:space="0" w:color="000000"/>
              <w:bottom w:val="single" w:sz="4" w:space="0" w:color="000000"/>
              <w:right w:val="single" w:sz="4" w:space="0" w:color="000000"/>
            </w:tcBorders>
            <w:shd w:val="clear" w:color="auto" w:fill="auto"/>
            <w:vAlign w:val="center"/>
          </w:tcPr>
          <w:p w14:paraId="73D4EF2B" w14:textId="77777777" w:rsidR="00D60162" w:rsidRDefault="00D60162">
            <w:pPr>
              <w:rPr>
                <w:rFonts w:ascii="方正楷体_GBK" w:eastAsia="方正楷体_GBK" w:hAnsi="方正楷体_GBK" w:cs="方正楷体_GBK" w:hint="eastAsia"/>
                <w:sz w:val="20"/>
              </w:rPr>
            </w:pPr>
          </w:p>
        </w:tc>
        <w:tc>
          <w:tcPr>
            <w:tcW w:w="55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14:paraId="4AE828E0" w14:textId="77777777" w:rsidR="00D60162" w:rsidRDefault="00D60162">
            <w:pPr>
              <w:rPr>
                <w:rFonts w:ascii="方正楷体_GBK" w:eastAsia="方正楷体_GBK" w:hAnsi="方正楷体_GBK" w:cs="方正楷体_GBK" w:hint="eastAsia"/>
                <w:sz w:val="20"/>
              </w:rPr>
            </w:pPr>
          </w:p>
        </w:tc>
        <w:tc>
          <w:tcPr>
            <w:tcW w:w="3579" w:type="pct"/>
            <w:tcBorders>
              <w:top w:val="single" w:sz="4" w:space="0" w:color="000000"/>
              <w:left w:val="single" w:sz="4" w:space="0" w:color="000000"/>
              <w:bottom w:val="single" w:sz="4" w:space="0" w:color="000000"/>
              <w:right w:val="single" w:sz="4" w:space="0" w:color="000000"/>
            </w:tcBorders>
            <w:shd w:val="clear" w:color="auto" w:fill="auto"/>
            <w:vAlign w:val="center"/>
          </w:tcPr>
          <w:p w14:paraId="4774F4B6" w14:textId="77777777" w:rsidR="00D60162" w:rsidRDefault="00000000">
            <w:pPr>
              <w:pStyle w:val="11"/>
              <w:widowControl/>
              <w:numPr>
                <w:ilvl w:val="255"/>
                <w:numId w:val="0"/>
              </w:numPr>
              <w:spacing w:line="400" w:lineRule="exact"/>
              <w:rPr>
                <w:rFonts w:ascii="Times New Roman" w:eastAsia="方正仿宋_GBK" w:hAnsi="Times New Roman"/>
                <w:b/>
                <w:bCs/>
                <w:sz w:val="28"/>
                <w:szCs w:val="28"/>
              </w:rPr>
            </w:pPr>
            <w:r>
              <w:rPr>
                <w:rFonts w:ascii="Times New Roman" w:eastAsia="方正仿宋_GBK" w:hAnsi="Times New Roman" w:hint="eastAsia"/>
                <w:b/>
                <w:bCs/>
                <w:sz w:val="28"/>
                <w:szCs w:val="28"/>
                <w:lang w:eastAsia="zh"/>
              </w:rPr>
              <w:t>14.</w:t>
            </w:r>
            <w:r>
              <w:rPr>
                <w:rFonts w:ascii="Times New Roman" w:eastAsia="方正仿宋_GBK" w:hAnsi="Times New Roman"/>
                <w:b/>
                <w:bCs/>
                <w:sz w:val="28"/>
                <w:szCs w:val="28"/>
              </w:rPr>
              <w:t>南通市以更新行动计划推动片区更新实施。</w:t>
            </w:r>
            <w:r>
              <w:rPr>
                <w:rFonts w:ascii="Times New Roman" w:eastAsia="方正仿宋_GBK" w:hAnsi="Times New Roman"/>
                <w:sz w:val="28"/>
                <w:szCs w:val="28"/>
              </w:rPr>
              <w:t>在完成首轮三年行动的基础上，出台《南通市城市更新三年行动方案（</w:t>
            </w:r>
            <w:r>
              <w:rPr>
                <w:rFonts w:ascii="Times New Roman" w:eastAsia="方正仿宋_GBK" w:hAnsi="Times New Roman"/>
                <w:sz w:val="28"/>
                <w:szCs w:val="28"/>
              </w:rPr>
              <w:t>2025—2027</w:t>
            </w:r>
            <w:r>
              <w:rPr>
                <w:rFonts w:ascii="Times New Roman" w:eastAsia="方正仿宋_GBK" w:hAnsi="Times New Roman"/>
                <w:sz w:val="28"/>
                <w:szCs w:val="28"/>
              </w:rPr>
              <w:t>年）》，系统部署开展规划引领、韧性提升、整体</w:t>
            </w:r>
            <w:proofErr w:type="gramStart"/>
            <w:r>
              <w:rPr>
                <w:rFonts w:ascii="Times New Roman" w:eastAsia="方正仿宋_GBK" w:hAnsi="Times New Roman"/>
                <w:sz w:val="28"/>
                <w:szCs w:val="28"/>
              </w:rPr>
              <w:t>焕</w:t>
            </w:r>
            <w:proofErr w:type="gramEnd"/>
            <w:r>
              <w:rPr>
                <w:rFonts w:ascii="Times New Roman" w:eastAsia="方正仿宋_GBK" w:hAnsi="Times New Roman"/>
                <w:sz w:val="28"/>
                <w:szCs w:val="28"/>
              </w:rPr>
              <w:t>新等</w:t>
            </w:r>
            <w:r>
              <w:rPr>
                <w:rFonts w:ascii="Times New Roman" w:eastAsia="方正仿宋_GBK" w:hAnsi="Times New Roman"/>
                <w:sz w:val="28"/>
                <w:szCs w:val="28"/>
              </w:rPr>
              <w:t>9</w:t>
            </w:r>
            <w:r>
              <w:rPr>
                <w:rFonts w:ascii="Times New Roman" w:eastAsia="方正仿宋_GBK" w:hAnsi="Times New Roman"/>
                <w:sz w:val="28"/>
                <w:szCs w:val="28"/>
              </w:rPr>
              <w:t>大行动、</w:t>
            </w:r>
            <w:r>
              <w:rPr>
                <w:rFonts w:ascii="Times New Roman" w:eastAsia="方正仿宋_GBK" w:hAnsi="Times New Roman"/>
                <w:sz w:val="28"/>
                <w:szCs w:val="28"/>
              </w:rPr>
              <w:t>16</w:t>
            </w:r>
            <w:r>
              <w:rPr>
                <w:rFonts w:ascii="Times New Roman" w:eastAsia="方正仿宋_GBK" w:hAnsi="Times New Roman"/>
                <w:sz w:val="28"/>
                <w:szCs w:val="28"/>
              </w:rPr>
              <w:t>个重点片区、</w:t>
            </w:r>
            <w:r>
              <w:rPr>
                <w:rFonts w:ascii="Times New Roman" w:eastAsia="方正仿宋_GBK" w:hAnsi="Times New Roman"/>
                <w:sz w:val="28"/>
                <w:szCs w:val="28"/>
              </w:rPr>
              <w:t>70</w:t>
            </w:r>
            <w:r>
              <w:rPr>
                <w:rFonts w:ascii="Times New Roman" w:eastAsia="方正仿宋_GBK" w:hAnsi="Times New Roman"/>
                <w:sz w:val="28"/>
                <w:szCs w:val="28"/>
              </w:rPr>
              <w:t>类更新任务，完善</w:t>
            </w:r>
            <w:r>
              <w:rPr>
                <w:rFonts w:ascii="Times New Roman" w:eastAsia="方正仿宋_GBK" w:hAnsi="Times New Roman"/>
                <w:sz w:val="28"/>
                <w:szCs w:val="28"/>
              </w:rPr>
              <w:t>“</w:t>
            </w:r>
            <w:r>
              <w:rPr>
                <w:rFonts w:ascii="Times New Roman" w:eastAsia="方正仿宋_GBK" w:hAnsi="Times New Roman"/>
                <w:sz w:val="28"/>
                <w:szCs w:val="28"/>
              </w:rPr>
              <w:t>体检</w:t>
            </w:r>
            <w:r>
              <w:rPr>
                <w:rFonts w:ascii="Times New Roman" w:eastAsia="方正仿宋_GBK" w:hAnsi="Times New Roman"/>
                <w:sz w:val="28"/>
                <w:szCs w:val="28"/>
              </w:rPr>
              <w:t>—</w:t>
            </w:r>
            <w:r>
              <w:rPr>
                <w:rFonts w:ascii="Times New Roman" w:eastAsia="方正仿宋_GBK" w:hAnsi="Times New Roman"/>
                <w:sz w:val="28"/>
                <w:szCs w:val="28"/>
              </w:rPr>
              <w:t>规划</w:t>
            </w:r>
            <w:r>
              <w:rPr>
                <w:rFonts w:ascii="Times New Roman" w:eastAsia="方正仿宋_GBK" w:hAnsi="Times New Roman"/>
                <w:sz w:val="28"/>
                <w:szCs w:val="28"/>
              </w:rPr>
              <w:t>—</w:t>
            </w:r>
            <w:r>
              <w:rPr>
                <w:rFonts w:ascii="Times New Roman" w:eastAsia="方正仿宋_GBK" w:hAnsi="Times New Roman"/>
                <w:sz w:val="28"/>
                <w:szCs w:val="28"/>
              </w:rPr>
              <w:t>计划</w:t>
            </w:r>
            <w:r>
              <w:rPr>
                <w:rFonts w:ascii="Times New Roman" w:eastAsia="方正仿宋_GBK" w:hAnsi="Times New Roman"/>
                <w:sz w:val="28"/>
                <w:szCs w:val="28"/>
              </w:rPr>
              <w:t>—</w:t>
            </w:r>
            <w:r>
              <w:rPr>
                <w:rFonts w:ascii="Times New Roman" w:eastAsia="方正仿宋_GBK" w:hAnsi="Times New Roman"/>
                <w:sz w:val="28"/>
                <w:szCs w:val="28"/>
              </w:rPr>
              <w:t>实施</w:t>
            </w:r>
            <w:r>
              <w:rPr>
                <w:rFonts w:ascii="Times New Roman" w:eastAsia="方正仿宋_GBK" w:hAnsi="Times New Roman"/>
                <w:sz w:val="28"/>
                <w:szCs w:val="28"/>
              </w:rPr>
              <w:t>—</w:t>
            </w:r>
            <w:r>
              <w:rPr>
                <w:rFonts w:ascii="Times New Roman" w:eastAsia="方正仿宋_GBK" w:hAnsi="Times New Roman"/>
                <w:sz w:val="28"/>
                <w:szCs w:val="28"/>
              </w:rPr>
              <w:t>评估</w:t>
            </w:r>
            <w:r>
              <w:rPr>
                <w:rFonts w:ascii="Times New Roman" w:eastAsia="方正仿宋_GBK" w:hAnsi="Times New Roman"/>
                <w:sz w:val="28"/>
                <w:szCs w:val="28"/>
              </w:rPr>
              <w:t>”</w:t>
            </w:r>
            <w:r>
              <w:rPr>
                <w:rFonts w:ascii="Times New Roman" w:eastAsia="方正仿宋_GBK" w:hAnsi="Times New Roman"/>
                <w:sz w:val="28"/>
                <w:szCs w:val="28"/>
              </w:rPr>
              <w:t>全链条管理机制，推动城市更新由</w:t>
            </w:r>
            <w:r>
              <w:rPr>
                <w:rFonts w:ascii="Times New Roman" w:eastAsia="方正仿宋_GBK" w:hAnsi="Times New Roman"/>
                <w:sz w:val="28"/>
                <w:szCs w:val="28"/>
              </w:rPr>
              <w:t>“</w:t>
            </w:r>
            <w:r>
              <w:rPr>
                <w:rFonts w:ascii="Times New Roman" w:eastAsia="方正仿宋_GBK" w:hAnsi="Times New Roman"/>
                <w:sz w:val="28"/>
                <w:szCs w:val="28"/>
              </w:rPr>
              <w:t>点状更新</w:t>
            </w:r>
            <w:r>
              <w:rPr>
                <w:rFonts w:ascii="Times New Roman" w:eastAsia="方正仿宋_GBK" w:hAnsi="Times New Roman"/>
                <w:sz w:val="28"/>
                <w:szCs w:val="28"/>
              </w:rPr>
              <w:t>”</w:t>
            </w:r>
            <w:r>
              <w:rPr>
                <w:rFonts w:ascii="Times New Roman" w:eastAsia="方正仿宋_GBK" w:hAnsi="Times New Roman"/>
                <w:sz w:val="28"/>
                <w:szCs w:val="28"/>
              </w:rPr>
              <w:t>向</w:t>
            </w:r>
            <w:r>
              <w:rPr>
                <w:rFonts w:ascii="Times New Roman" w:eastAsia="方正仿宋_GBK" w:hAnsi="Times New Roman"/>
                <w:sz w:val="28"/>
                <w:szCs w:val="28"/>
              </w:rPr>
              <w:t>“</w:t>
            </w:r>
            <w:r>
              <w:rPr>
                <w:rFonts w:ascii="Times New Roman" w:eastAsia="方正仿宋_GBK" w:hAnsi="Times New Roman"/>
                <w:sz w:val="28"/>
                <w:szCs w:val="28"/>
              </w:rPr>
              <w:t>片区统筹</w:t>
            </w:r>
            <w:r>
              <w:rPr>
                <w:rFonts w:ascii="Times New Roman" w:eastAsia="方正仿宋_GBK" w:hAnsi="Times New Roman"/>
                <w:sz w:val="28"/>
                <w:szCs w:val="28"/>
              </w:rPr>
              <w:t>”</w:t>
            </w:r>
            <w:r>
              <w:rPr>
                <w:rFonts w:ascii="Times New Roman" w:eastAsia="方正仿宋_GBK" w:hAnsi="Times New Roman"/>
                <w:sz w:val="28"/>
                <w:szCs w:val="28"/>
              </w:rPr>
              <w:t>转变。</w:t>
            </w:r>
          </w:p>
        </w:tc>
      </w:tr>
      <w:tr w:rsidR="00D60162" w14:paraId="6AA035CC" w14:textId="77777777">
        <w:trPr>
          <w:jc w:val="center"/>
        </w:trPr>
        <w:tc>
          <w:tcPr>
            <w:tcW w:w="313" w:type="pct"/>
            <w:vMerge/>
            <w:tcBorders>
              <w:top w:val="single" w:sz="4" w:space="0" w:color="000000"/>
              <w:left w:val="single" w:sz="4" w:space="0" w:color="000000"/>
              <w:bottom w:val="single" w:sz="4" w:space="0" w:color="000000"/>
              <w:right w:val="single" w:sz="4" w:space="0" w:color="000000"/>
            </w:tcBorders>
            <w:shd w:val="clear" w:color="auto" w:fill="auto"/>
            <w:vAlign w:val="center"/>
          </w:tcPr>
          <w:p w14:paraId="6EC063DE" w14:textId="77777777" w:rsidR="00D60162" w:rsidRDefault="00D60162">
            <w:pPr>
              <w:rPr>
                <w:rFonts w:ascii="方正楷体_GBK" w:eastAsia="方正楷体_GBK" w:hAnsi="方正楷体_GBK" w:cs="方正楷体_GBK" w:hint="eastAsia"/>
                <w:sz w:val="20"/>
              </w:rPr>
            </w:pPr>
          </w:p>
        </w:tc>
        <w:tc>
          <w:tcPr>
            <w:tcW w:w="551" w:type="pct"/>
            <w:vMerge/>
            <w:tcBorders>
              <w:top w:val="single" w:sz="4" w:space="0" w:color="000000"/>
              <w:left w:val="single" w:sz="4" w:space="0" w:color="000000"/>
              <w:bottom w:val="single" w:sz="4" w:space="0" w:color="000000"/>
              <w:right w:val="single" w:sz="4" w:space="0" w:color="000000"/>
            </w:tcBorders>
            <w:shd w:val="clear" w:color="auto" w:fill="auto"/>
            <w:vAlign w:val="center"/>
          </w:tcPr>
          <w:p w14:paraId="65C437CD" w14:textId="77777777" w:rsidR="00D60162" w:rsidRDefault="00D60162">
            <w:pPr>
              <w:rPr>
                <w:rFonts w:ascii="方正楷体_GBK" w:eastAsia="方正楷体_GBK" w:hAnsi="方正楷体_GBK" w:cs="方正楷体_GBK" w:hint="eastAsia"/>
                <w:sz w:val="20"/>
              </w:rPr>
            </w:pPr>
          </w:p>
        </w:tc>
        <w:tc>
          <w:tcPr>
            <w:tcW w:w="556" w:type="pct"/>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14:paraId="339DB2ED" w14:textId="77777777" w:rsidR="00D60162" w:rsidRDefault="00000000">
            <w:pPr>
              <w:spacing w:line="400" w:lineRule="exact"/>
              <w:ind w:firstLine="0"/>
              <w:jc w:val="center"/>
              <w:rPr>
                <w:rFonts w:ascii="方正楷体_GBK" w:eastAsia="方正楷体_GBK" w:hAnsi="方正楷体_GBK" w:cs="方正楷体_GBK" w:hint="eastAsia"/>
                <w:kern w:val="2"/>
                <w:sz w:val="28"/>
              </w:rPr>
            </w:pPr>
            <w:r>
              <w:rPr>
                <w:rFonts w:ascii="方正楷体_GBK" w:eastAsia="方正楷体_GBK" w:hAnsi="方正楷体_GBK" w:cs="方正楷体_GBK" w:hint="eastAsia"/>
                <w:kern w:val="2"/>
                <w:sz w:val="28"/>
                <w:szCs w:val="28"/>
                <w:lang w:bidi="ar"/>
              </w:rPr>
              <w:t>优化更新项目审批流程</w:t>
            </w:r>
          </w:p>
        </w:tc>
        <w:tc>
          <w:tcPr>
            <w:tcW w:w="3579" w:type="pct"/>
            <w:tcBorders>
              <w:top w:val="single" w:sz="4" w:space="0" w:color="000000"/>
              <w:left w:val="single" w:sz="4" w:space="0" w:color="000000"/>
              <w:bottom w:val="single" w:sz="4" w:space="0" w:color="000000"/>
              <w:right w:val="single" w:sz="4" w:space="0" w:color="000000"/>
            </w:tcBorders>
            <w:shd w:val="clear" w:color="auto" w:fill="auto"/>
            <w:vAlign w:val="center"/>
          </w:tcPr>
          <w:p w14:paraId="43E606D0" w14:textId="77777777" w:rsidR="00D60162" w:rsidRDefault="00000000">
            <w:pPr>
              <w:pStyle w:val="11"/>
              <w:widowControl/>
              <w:numPr>
                <w:ilvl w:val="255"/>
                <w:numId w:val="0"/>
              </w:numPr>
              <w:spacing w:line="400" w:lineRule="exact"/>
              <w:rPr>
                <w:rFonts w:ascii="Times New Roman" w:eastAsia="方正仿宋_GBK" w:hAnsi="Times New Roman"/>
                <w:b/>
                <w:bCs/>
                <w:sz w:val="28"/>
                <w:szCs w:val="28"/>
              </w:rPr>
            </w:pPr>
            <w:r>
              <w:rPr>
                <w:rFonts w:ascii="Times New Roman" w:eastAsia="方正仿宋_GBK" w:hAnsi="Times New Roman" w:hint="eastAsia"/>
                <w:b/>
                <w:bCs/>
                <w:sz w:val="28"/>
                <w:szCs w:val="28"/>
                <w:lang w:eastAsia="zh"/>
              </w:rPr>
              <w:t>15.</w:t>
            </w:r>
            <w:r>
              <w:rPr>
                <w:rFonts w:ascii="Times New Roman" w:eastAsia="方正仿宋_GBK" w:hAnsi="Times New Roman"/>
                <w:b/>
                <w:bCs/>
                <w:sz w:val="28"/>
                <w:szCs w:val="28"/>
              </w:rPr>
              <w:t>镇江市制定非居住类房建更新项目操作规程。</w:t>
            </w:r>
            <w:r>
              <w:rPr>
                <w:rFonts w:ascii="Times New Roman" w:eastAsia="方正仿宋_GBK" w:hAnsi="Times New Roman"/>
                <w:sz w:val="28"/>
                <w:szCs w:val="28"/>
              </w:rPr>
              <w:t>规定老旧厂区、老旧街区、老旧校区、低效楼宇、危旧房等非居住类更新项目的生成机制、项目库管理、建设审批流程和实施监督管理，明确既有建筑改造利用类、翻建或改扩建类和改变土地用途类等项目土地出让、产权办理的处置原则，有效指导了镇江市图书馆、吉贝尔药业仓库等项目实施。</w:t>
            </w:r>
          </w:p>
        </w:tc>
      </w:tr>
      <w:tr w:rsidR="00D60162" w14:paraId="5D358C5D" w14:textId="77777777">
        <w:trPr>
          <w:jc w:val="center"/>
        </w:trPr>
        <w:tc>
          <w:tcPr>
            <w:tcW w:w="313" w:type="pct"/>
            <w:vMerge/>
            <w:tcBorders>
              <w:top w:val="single" w:sz="4" w:space="0" w:color="000000"/>
              <w:left w:val="single" w:sz="4" w:space="0" w:color="000000"/>
              <w:bottom w:val="single" w:sz="4" w:space="0" w:color="000000"/>
              <w:right w:val="single" w:sz="4" w:space="0" w:color="000000"/>
            </w:tcBorders>
            <w:shd w:val="clear" w:color="auto" w:fill="auto"/>
            <w:vAlign w:val="center"/>
          </w:tcPr>
          <w:p w14:paraId="1F3CC3F4" w14:textId="77777777" w:rsidR="00D60162" w:rsidRDefault="00D60162">
            <w:pPr>
              <w:rPr>
                <w:rFonts w:ascii="方正楷体_GBK" w:eastAsia="方正楷体_GBK" w:hAnsi="方正楷体_GBK" w:cs="方正楷体_GBK" w:hint="eastAsia"/>
                <w:sz w:val="20"/>
              </w:rPr>
            </w:pPr>
          </w:p>
        </w:tc>
        <w:tc>
          <w:tcPr>
            <w:tcW w:w="551" w:type="pct"/>
            <w:vMerge/>
            <w:tcBorders>
              <w:top w:val="single" w:sz="4" w:space="0" w:color="000000"/>
              <w:left w:val="single" w:sz="4" w:space="0" w:color="000000"/>
              <w:bottom w:val="single" w:sz="4" w:space="0" w:color="000000"/>
              <w:right w:val="single" w:sz="4" w:space="0" w:color="000000"/>
            </w:tcBorders>
            <w:shd w:val="clear" w:color="auto" w:fill="auto"/>
            <w:vAlign w:val="center"/>
          </w:tcPr>
          <w:p w14:paraId="7936303E" w14:textId="77777777" w:rsidR="00D60162" w:rsidRDefault="00D60162">
            <w:pPr>
              <w:rPr>
                <w:rFonts w:ascii="方正楷体_GBK" w:eastAsia="方正楷体_GBK" w:hAnsi="方正楷体_GBK" w:cs="方正楷体_GBK" w:hint="eastAsia"/>
                <w:sz w:val="20"/>
              </w:rPr>
            </w:pPr>
          </w:p>
        </w:tc>
        <w:tc>
          <w:tcPr>
            <w:tcW w:w="55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14:paraId="2EE5BB1A" w14:textId="77777777" w:rsidR="00D60162" w:rsidRDefault="00D60162">
            <w:pPr>
              <w:rPr>
                <w:rFonts w:ascii="方正楷体_GBK" w:eastAsia="方正楷体_GBK" w:hAnsi="方正楷体_GBK" w:cs="方正楷体_GBK" w:hint="eastAsia"/>
                <w:sz w:val="20"/>
              </w:rPr>
            </w:pPr>
          </w:p>
        </w:tc>
        <w:tc>
          <w:tcPr>
            <w:tcW w:w="3579" w:type="pct"/>
            <w:tcBorders>
              <w:top w:val="single" w:sz="4" w:space="0" w:color="000000"/>
              <w:left w:val="single" w:sz="4" w:space="0" w:color="000000"/>
              <w:bottom w:val="single" w:sz="4" w:space="0" w:color="000000"/>
              <w:right w:val="single" w:sz="4" w:space="0" w:color="000000"/>
            </w:tcBorders>
            <w:shd w:val="clear" w:color="auto" w:fill="auto"/>
            <w:vAlign w:val="center"/>
          </w:tcPr>
          <w:p w14:paraId="3E47A299" w14:textId="77777777" w:rsidR="00D60162" w:rsidRDefault="00000000">
            <w:pPr>
              <w:pStyle w:val="11"/>
              <w:widowControl/>
              <w:numPr>
                <w:ilvl w:val="255"/>
                <w:numId w:val="0"/>
              </w:numPr>
              <w:spacing w:line="400" w:lineRule="exact"/>
              <w:rPr>
                <w:rFonts w:ascii="Times New Roman" w:eastAsia="方正仿宋_GBK" w:hAnsi="Times New Roman"/>
                <w:b/>
                <w:bCs/>
                <w:sz w:val="28"/>
                <w:szCs w:val="28"/>
              </w:rPr>
            </w:pPr>
            <w:r>
              <w:rPr>
                <w:rFonts w:ascii="Times New Roman" w:eastAsia="方正仿宋_GBK" w:hAnsi="Times New Roman" w:hint="eastAsia"/>
                <w:b/>
                <w:bCs/>
                <w:sz w:val="28"/>
                <w:szCs w:val="28"/>
                <w:lang w:eastAsia="zh"/>
              </w:rPr>
              <w:t>16.</w:t>
            </w:r>
            <w:r>
              <w:rPr>
                <w:rFonts w:ascii="Times New Roman" w:eastAsia="方正仿宋_GBK" w:hAnsi="Times New Roman"/>
                <w:b/>
                <w:bCs/>
                <w:sz w:val="28"/>
                <w:szCs w:val="28"/>
              </w:rPr>
              <w:t>常州市出台传统建筑更新改造设计施工管理规定。</w:t>
            </w:r>
            <w:r>
              <w:rPr>
                <w:rFonts w:ascii="Times New Roman" w:eastAsia="方正仿宋_GBK" w:hAnsi="Times New Roman"/>
                <w:sz w:val="28"/>
                <w:szCs w:val="28"/>
              </w:rPr>
              <w:t>针对结构形式采用传统木构架、外观造型为传统亭、楼、阁、廊、</w:t>
            </w:r>
            <w:proofErr w:type="gramStart"/>
            <w:r>
              <w:rPr>
                <w:rFonts w:ascii="Times New Roman" w:eastAsia="方正仿宋_GBK" w:hAnsi="Times New Roman"/>
                <w:sz w:val="28"/>
                <w:szCs w:val="28"/>
              </w:rPr>
              <w:t>榭</w:t>
            </w:r>
            <w:proofErr w:type="gramEnd"/>
            <w:r>
              <w:rPr>
                <w:rFonts w:ascii="Times New Roman" w:eastAsia="方正仿宋_GBK" w:hAnsi="Times New Roman"/>
                <w:sz w:val="28"/>
                <w:szCs w:val="28"/>
              </w:rPr>
              <w:t>、舫等建筑工程，围绕传统木结构及安全等既有技术标准缺失，制定差异化结构安全、消防等设计和施工管理标准，并纳入施工许可管理，同时建立</w:t>
            </w:r>
            <w:r>
              <w:rPr>
                <w:rFonts w:ascii="Times New Roman" w:eastAsia="方正仿宋_GBK" w:hAnsi="Times New Roman"/>
                <w:sz w:val="28"/>
                <w:szCs w:val="28"/>
              </w:rPr>
              <w:t>“</w:t>
            </w:r>
            <w:r>
              <w:rPr>
                <w:rFonts w:ascii="Times New Roman" w:eastAsia="方正仿宋_GBK" w:hAnsi="Times New Roman"/>
                <w:sz w:val="28"/>
                <w:szCs w:val="28"/>
              </w:rPr>
              <w:t>修缮工艺库</w:t>
            </w:r>
            <w:r>
              <w:rPr>
                <w:rFonts w:ascii="Times New Roman" w:eastAsia="方正仿宋_GBK" w:hAnsi="Times New Roman"/>
                <w:sz w:val="28"/>
                <w:szCs w:val="28"/>
              </w:rPr>
              <w:t>”</w:t>
            </w:r>
            <w:r>
              <w:rPr>
                <w:rFonts w:ascii="Times New Roman" w:eastAsia="方正仿宋_GBK" w:hAnsi="Times New Roman"/>
                <w:sz w:val="28"/>
                <w:szCs w:val="28"/>
              </w:rPr>
              <w:t>和风貌设计审查机制，确保存量建筑既实现功能新生，又保持历史肌理与现代功能的融合。</w:t>
            </w:r>
          </w:p>
        </w:tc>
      </w:tr>
      <w:tr w:rsidR="00D60162" w14:paraId="35B64548" w14:textId="77777777">
        <w:trPr>
          <w:jc w:val="center"/>
        </w:trPr>
        <w:tc>
          <w:tcPr>
            <w:tcW w:w="313" w:type="pct"/>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14:paraId="6A56C23F" w14:textId="77777777" w:rsidR="00D60162" w:rsidRDefault="00000000">
            <w:pPr>
              <w:spacing w:line="400" w:lineRule="exact"/>
              <w:ind w:firstLine="0"/>
              <w:jc w:val="center"/>
              <w:rPr>
                <w:rFonts w:ascii="方正楷体_GBK" w:eastAsia="方正楷体_GBK" w:hAnsi="方正楷体_GBK" w:cs="方正楷体_GBK" w:hint="eastAsia"/>
                <w:kern w:val="2"/>
                <w:sz w:val="28"/>
                <w:lang w:bidi="ar"/>
              </w:rPr>
            </w:pPr>
            <w:r>
              <w:rPr>
                <w:rFonts w:ascii="方正楷体_GBK" w:eastAsia="方正楷体_GBK" w:hAnsi="方正楷体_GBK" w:cs="方正楷体_GBK" w:hint="eastAsia"/>
                <w:kern w:val="2"/>
                <w:sz w:val="28"/>
                <w:szCs w:val="28"/>
                <w:lang w:bidi="ar"/>
              </w:rPr>
              <w:lastRenderedPageBreak/>
              <w:t>四</w:t>
            </w:r>
          </w:p>
        </w:tc>
        <w:tc>
          <w:tcPr>
            <w:tcW w:w="551" w:type="pct"/>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14:paraId="1D66CB66" w14:textId="77777777" w:rsidR="00D60162" w:rsidRDefault="00000000">
            <w:pPr>
              <w:spacing w:line="400" w:lineRule="exact"/>
              <w:ind w:firstLine="0"/>
              <w:jc w:val="center"/>
              <w:rPr>
                <w:rFonts w:ascii="方正楷体_GBK" w:eastAsia="方正楷体_GBK" w:hAnsi="方正楷体_GBK" w:cs="方正楷体_GBK" w:hint="eastAsia"/>
                <w:kern w:val="2"/>
                <w:sz w:val="28"/>
                <w:lang w:bidi="ar"/>
              </w:rPr>
            </w:pPr>
            <w:r>
              <w:rPr>
                <w:rFonts w:ascii="方正楷体_GBK" w:eastAsia="方正楷体_GBK" w:hAnsi="方正楷体_GBK" w:cs="方正楷体_GBK" w:hint="eastAsia"/>
                <w:kern w:val="2"/>
                <w:sz w:val="28"/>
                <w:szCs w:val="28"/>
                <w:lang w:bidi="ar"/>
              </w:rPr>
              <w:t>建立城市更新配套支持政策</w:t>
            </w:r>
          </w:p>
        </w:tc>
        <w:tc>
          <w:tcPr>
            <w:tcW w:w="556" w:type="pct"/>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14:paraId="0B95B9BC" w14:textId="77777777" w:rsidR="00D60162" w:rsidRDefault="00000000">
            <w:pPr>
              <w:spacing w:line="400" w:lineRule="exact"/>
              <w:ind w:firstLine="0"/>
              <w:jc w:val="center"/>
              <w:rPr>
                <w:rFonts w:ascii="方正楷体_GBK" w:eastAsia="方正楷体_GBK" w:hAnsi="方正楷体_GBK" w:cs="方正楷体_GBK" w:hint="eastAsia"/>
                <w:kern w:val="2"/>
                <w:sz w:val="28"/>
                <w:lang w:bidi="ar"/>
              </w:rPr>
            </w:pPr>
            <w:r>
              <w:rPr>
                <w:rFonts w:ascii="方正楷体_GBK" w:eastAsia="方正楷体_GBK" w:hAnsi="方正楷体_GBK" w:cs="方正楷体_GBK" w:hint="eastAsia"/>
                <w:kern w:val="2"/>
                <w:sz w:val="28"/>
                <w:szCs w:val="28"/>
                <w:lang w:bidi="ar"/>
              </w:rPr>
              <w:t>出台综合支持政策</w:t>
            </w:r>
          </w:p>
        </w:tc>
        <w:tc>
          <w:tcPr>
            <w:tcW w:w="3579" w:type="pct"/>
            <w:tcBorders>
              <w:top w:val="single" w:sz="4" w:space="0" w:color="000000"/>
              <w:left w:val="single" w:sz="4" w:space="0" w:color="000000"/>
              <w:bottom w:val="single" w:sz="4" w:space="0" w:color="000000"/>
              <w:right w:val="single" w:sz="4" w:space="0" w:color="000000"/>
            </w:tcBorders>
            <w:shd w:val="clear" w:color="auto" w:fill="auto"/>
            <w:vAlign w:val="center"/>
          </w:tcPr>
          <w:p w14:paraId="0A03252F" w14:textId="77777777" w:rsidR="00D60162" w:rsidRDefault="00000000">
            <w:pPr>
              <w:pStyle w:val="11"/>
              <w:widowControl/>
              <w:numPr>
                <w:ilvl w:val="255"/>
                <w:numId w:val="0"/>
              </w:numPr>
              <w:spacing w:line="400" w:lineRule="exact"/>
              <w:rPr>
                <w:rFonts w:ascii="Times New Roman" w:eastAsia="方正仿宋_GBK" w:hAnsi="Times New Roman"/>
                <w:b/>
                <w:bCs/>
                <w:sz w:val="28"/>
                <w:szCs w:val="28"/>
              </w:rPr>
            </w:pPr>
            <w:r>
              <w:rPr>
                <w:rFonts w:ascii="Times New Roman" w:eastAsia="方正仿宋_GBK" w:hAnsi="Times New Roman" w:hint="eastAsia"/>
                <w:b/>
                <w:bCs/>
                <w:sz w:val="28"/>
                <w:szCs w:val="28"/>
                <w:lang w:eastAsia="zh"/>
              </w:rPr>
              <w:t>17.</w:t>
            </w:r>
            <w:r>
              <w:rPr>
                <w:rFonts w:ascii="Times New Roman" w:eastAsia="方正仿宋_GBK" w:hAnsi="Times New Roman"/>
                <w:b/>
                <w:bCs/>
                <w:sz w:val="28"/>
                <w:szCs w:val="28"/>
              </w:rPr>
              <w:t>南京市</w:t>
            </w:r>
            <w:r>
              <w:rPr>
                <w:rFonts w:ascii="Times New Roman" w:eastAsia="方正仿宋_GBK" w:hAnsi="Times New Roman" w:hint="eastAsia"/>
                <w:b/>
                <w:bCs/>
                <w:sz w:val="28"/>
                <w:szCs w:val="28"/>
              </w:rPr>
              <w:t>出台针对性政策措施破解更新关键堵点难点</w:t>
            </w:r>
            <w:r>
              <w:rPr>
                <w:rFonts w:ascii="Times New Roman" w:eastAsia="方正仿宋_GBK" w:hAnsi="Times New Roman"/>
                <w:b/>
                <w:bCs/>
                <w:sz w:val="28"/>
                <w:szCs w:val="28"/>
              </w:rPr>
              <w:t>。</w:t>
            </w:r>
            <w:r>
              <w:rPr>
                <w:rFonts w:ascii="Times New Roman" w:eastAsia="方正仿宋_GBK" w:hAnsi="Times New Roman"/>
                <w:sz w:val="28"/>
                <w:szCs w:val="28"/>
              </w:rPr>
              <w:t>印发《关于支持城市更新的若干政策措施（第一批）》，以小切口政策针对性破解规划指标</w:t>
            </w:r>
            <w:r>
              <w:rPr>
                <w:rFonts w:ascii="Times New Roman" w:eastAsia="方正仿宋_GBK" w:hAnsi="Times New Roman" w:hint="eastAsia"/>
                <w:sz w:val="28"/>
                <w:szCs w:val="28"/>
              </w:rPr>
              <w:t>适应性优化</w:t>
            </w:r>
            <w:r>
              <w:rPr>
                <w:rFonts w:ascii="Times New Roman" w:eastAsia="方正仿宋_GBK" w:hAnsi="Times New Roman"/>
                <w:sz w:val="28"/>
                <w:szCs w:val="28"/>
              </w:rPr>
              <w:t>、住区</w:t>
            </w:r>
            <w:r>
              <w:rPr>
                <w:rFonts w:ascii="Times New Roman" w:eastAsia="方正仿宋_GBK" w:hAnsi="Times New Roman" w:hint="eastAsia"/>
                <w:sz w:val="28"/>
                <w:szCs w:val="28"/>
              </w:rPr>
              <w:t>更新土地供应</w:t>
            </w:r>
            <w:r>
              <w:rPr>
                <w:rFonts w:ascii="Times New Roman" w:eastAsia="方正仿宋_GBK" w:hAnsi="Times New Roman"/>
                <w:sz w:val="28"/>
                <w:szCs w:val="28"/>
              </w:rPr>
              <w:t>、产业</w:t>
            </w:r>
            <w:r>
              <w:rPr>
                <w:rFonts w:ascii="Times New Roman" w:eastAsia="方正仿宋_GBK" w:hAnsi="Times New Roman" w:hint="eastAsia"/>
                <w:sz w:val="28"/>
                <w:szCs w:val="28"/>
              </w:rPr>
              <w:t>容积率调整</w:t>
            </w:r>
            <w:r>
              <w:rPr>
                <w:rFonts w:ascii="Times New Roman" w:eastAsia="方正仿宋_GBK" w:hAnsi="Times New Roman"/>
                <w:sz w:val="28"/>
                <w:szCs w:val="28"/>
              </w:rPr>
              <w:t>、土地</w:t>
            </w:r>
            <w:r>
              <w:rPr>
                <w:rFonts w:ascii="Times New Roman" w:eastAsia="方正仿宋_GBK" w:hAnsi="Times New Roman" w:hint="eastAsia"/>
                <w:sz w:val="28"/>
                <w:szCs w:val="28"/>
              </w:rPr>
              <w:t>出让金补缴</w:t>
            </w:r>
            <w:r>
              <w:rPr>
                <w:rFonts w:ascii="Times New Roman" w:eastAsia="方正仿宋_GBK" w:hAnsi="Times New Roman"/>
                <w:sz w:val="28"/>
                <w:szCs w:val="28"/>
              </w:rPr>
              <w:t>、公房</w:t>
            </w:r>
            <w:r>
              <w:rPr>
                <w:rFonts w:ascii="Times New Roman" w:eastAsia="方正仿宋_GBK" w:hAnsi="Times New Roman" w:hint="eastAsia"/>
                <w:sz w:val="28"/>
                <w:szCs w:val="28"/>
              </w:rPr>
              <w:t>所有人参与</w:t>
            </w:r>
            <w:r>
              <w:rPr>
                <w:rFonts w:ascii="Times New Roman" w:eastAsia="方正仿宋_GBK" w:hAnsi="Times New Roman"/>
                <w:sz w:val="28"/>
                <w:szCs w:val="28"/>
              </w:rPr>
              <w:t>更新、</w:t>
            </w:r>
            <w:r>
              <w:rPr>
                <w:rFonts w:ascii="Times New Roman" w:eastAsia="方正仿宋_GBK" w:hAnsi="Times New Roman" w:hint="eastAsia"/>
                <w:sz w:val="28"/>
                <w:szCs w:val="28"/>
              </w:rPr>
              <w:t>财政资金奖励</w:t>
            </w:r>
            <w:r>
              <w:rPr>
                <w:rFonts w:ascii="Times New Roman" w:eastAsia="方正仿宋_GBK" w:hAnsi="Times New Roman"/>
                <w:sz w:val="28"/>
                <w:szCs w:val="28"/>
              </w:rPr>
              <w:t>等关键难点，完善城市更新项目服务支撑体系，助推石榴新村等项目突破政策瓶颈限制。</w:t>
            </w:r>
          </w:p>
        </w:tc>
      </w:tr>
      <w:tr w:rsidR="00D60162" w14:paraId="049F5169" w14:textId="77777777">
        <w:trPr>
          <w:jc w:val="center"/>
        </w:trPr>
        <w:tc>
          <w:tcPr>
            <w:tcW w:w="313" w:type="pct"/>
            <w:vMerge/>
            <w:tcBorders>
              <w:top w:val="single" w:sz="4" w:space="0" w:color="000000"/>
              <w:left w:val="single" w:sz="4" w:space="0" w:color="000000"/>
              <w:bottom w:val="single" w:sz="4" w:space="0" w:color="000000"/>
              <w:right w:val="single" w:sz="4" w:space="0" w:color="000000"/>
            </w:tcBorders>
            <w:shd w:val="clear" w:color="auto" w:fill="auto"/>
            <w:vAlign w:val="center"/>
          </w:tcPr>
          <w:p w14:paraId="2C8CA064" w14:textId="77777777" w:rsidR="00D60162" w:rsidRDefault="00D60162">
            <w:pPr>
              <w:rPr>
                <w:rFonts w:ascii="方正楷体_GBK" w:eastAsia="方正楷体_GBK" w:hAnsi="方正楷体_GBK" w:cs="方正楷体_GBK" w:hint="eastAsia"/>
                <w:sz w:val="20"/>
              </w:rPr>
            </w:pPr>
          </w:p>
        </w:tc>
        <w:tc>
          <w:tcPr>
            <w:tcW w:w="551" w:type="pct"/>
            <w:vMerge/>
            <w:tcBorders>
              <w:top w:val="single" w:sz="4" w:space="0" w:color="000000"/>
              <w:left w:val="single" w:sz="4" w:space="0" w:color="000000"/>
              <w:bottom w:val="single" w:sz="4" w:space="0" w:color="000000"/>
              <w:right w:val="single" w:sz="4" w:space="0" w:color="000000"/>
            </w:tcBorders>
            <w:shd w:val="clear" w:color="auto" w:fill="auto"/>
            <w:vAlign w:val="center"/>
          </w:tcPr>
          <w:p w14:paraId="29F1EFE0" w14:textId="77777777" w:rsidR="00D60162" w:rsidRDefault="00D60162">
            <w:pPr>
              <w:rPr>
                <w:rFonts w:ascii="方正楷体_GBK" w:eastAsia="方正楷体_GBK" w:hAnsi="方正楷体_GBK" w:cs="方正楷体_GBK" w:hint="eastAsia"/>
                <w:sz w:val="20"/>
              </w:rPr>
            </w:pPr>
          </w:p>
        </w:tc>
        <w:tc>
          <w:tcPr>
            <w:tcW w:w="55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14:paraId="418C2C28" w14:textId="77777777" w:rsidR="00D60162" w:rsidRDefault="00D60162">
            <w:pPr>
              <w:rPr>
                <w:rFonts w:ascii="方正楷体_GBK" w:eastAsia="方正楷体_GBK" w:hAnsi="方正楷体_GBK" w:cs="方正楷体_GBK" w:hint="eastAsia"/>
                <w:sz w:val="20"/>
              </w:rPr>
            </w:pPr>
          </w:p>
        </w:tc>
        <w:tc>
          <w:tcPr>
            <w:tcW w:w="3579" w:type="pct"/>
            <w:tcBorders>
              <w:top w:val="single" w:sz="4" w:space="0" w:color="000000"/>
              <w:left w:val="single" w:sz="4" w:space="0" w:color="000000"/>
              <w:bottom w:val="single" w:sz="4" w:space="0" w:color="000000"/>
              <w:right w:val="single" w:sz="4" w:space="0" w:color="000000"/>
            </w:tcBorders>
            <w:shd w:val="clear" w:color="auto" w:fill="auto"/>
            <w:vAlign w:val="center"/>
          </w:tcPr>
          <w:p w14:paraId="3986D4D2" w14:textId="77777777" w:rsidR="00D60162" w:rsidRDefault="00000000">
            <w:pPr>
              <w:pStyle w:val="11"/>
              <w:widowControl/>
              <w:numPr>
                <w:ilvl w:val="255"/>
                <w:numId w:val="0"/>
              </w:numPr>
              <w:spacing w:line="400" w:lineRule="exact"/>
              <w:rPr>
                <w:rFonts w:ascii="Times New Roman" w:eastAsia="方正仿宋_GBK" w:hAnsi="Times New Roman"/>
                <w:b/>
                <w:bCs/>
                <w:sz w:val="28"/>
                <w:szCs w:val="28"/>
              </w:rPr>
            </w:pPr>
            <w:r>
              <w:rPr>
                <w:rFonts w:ascii="Times New Roman" w:eastAsia="方正仿宋_GBK" w:hAnsi="Times New Roman" w:hint="eastAsia"/>
                <w:b/>
                <w:bCs/>
                <w:sz w:val="28"/>
                <w:szCs w:val="28"/>
                <w:lang w:eastAsia="zh"/>
              </w:rPr>
              <w:t>18.</w:t>
            </w:r>
            <w:r>
              <w:rPr>
                <w:rFonts w:ascii="Times New Roman" w:eastAsia="方正仿宋_GBK" w:hAnsi="Times New Roman"/>
                <w:b/>
                <w:bCs/>
                <w:sz w:val="28"/>
                <w:szCs w:val="28"/>
              </w:rPr>
              <w:t>盐城市</w:t>
            </w:r>
            <w:r>
              <w:rPr>
                <w:rFonts w:ascii="Times New Roman" w:eastAsia="方正仿宋_GBK" w:hAnsi="Times New Roman" w:hint="eastAsia"/>
                <w:b/>
                <w:bCs/>
                <w:sz w:val="28"/>
                <w:szCs w:val="28"/>
              </w:rPr>
              <w:t>出台</w:t>
            </w:r>
            <w:r>
              <w:rPr>
                <w:rFonts w:ascii="Times New Roman" w:eastAsia="方正仿宋_GBK" w:hAnsi="Times New Roman"/>
                <w:b/>
                <w:bCs/>
                <w:sz w:val="28"/>
                <w:szCs w:val="28"/>
              </w:rPr>
              <w:t>“</w:t>
            </w:r>
            <w:r>
              <w:rPr>
                <w:rFonts w:ascii="Times New Roman" w:eastAsia="方正仿宋_GBK" w:hAnsi="Times New Roman"/>
                <w:b/>
                <w:bCs/>
                <w:sz w:val="28"/>
                <w:szCs w:val="28"/>
              </w:rPr>
              <w:t>一区</w:t>
            </w:r>
            <w:proofErr w:type="gramStart"/>
            <w:r>
              <w:rPr>
                <w:rFonts w:ascii="Times New Roman" w:eastAsia="方正仿宋_GBK" w:hAnsi="Times New Roman"/>
                <w:b/>
                <w:bCs/>
                <w:sz w:val="28"/>
                <w:szCs w:val="28"/>
              </w:rPr>
              <w:t>一</w:t>
            </w:r>
            <w:proofErr w:type="gramEnd"/>
            <w:r>
              <w:rPr>
                <w:rFonts w:ascii="Times New Roman" w:eastAsia="方正仿宋_GBK" w:hAnsi="Times New Roman"/>
                <w:b/>
                <w:bCs/>
                <w:sz w:val="28"/>
                <w:szCs w:val="28"/>
              </w:rPr>
              <w:t>策</w:t>
            </w:r>
            <w:r>
              <w:rPr>
                <w:rFonts w:ascii="Times New Roman" w:eastAsia="方正仿宋_GBK" w:hAnsi="Times New Roman"/>
                <w:b/>
                <w:bCs/>
                <w:sz w:val="28"/>
                <w:szCs w:val="28"/>
              </w:rPr>
              <w:t>”</w:t>
            </w:r>
            <w:r>
              <w:rPr>
                <w:rFonts w:ascii="Times New Roman" w:eastAsia="方正仿宋_GBK" w:hAnsi="Times New Roman"/>
                <w:b/>
                <w:bCs/>
                <w:sz w:val="28"/>
                <w:szCs w:val="28"/>
              </w:rPr>
              <w:t>更新片区实施</w:t>
            </w:r>
            <w:r>
              <w:rPr>
                <w:rFonts w:ascii="Times New Roman" w:eastAsia="方正仿宋_GBK" w:hAnsi="Times New Roman" w:hint="eastAsia"/>
                <w:b/>
                <w:bCs/>
                <w:sz w:val="28"/>
                <w:szCs w:val="28"/>
              </w:rPr>
              <w:t>支持政策</w:t>
            </w:r>
            <w:r>
              <w:rPr>
                <w:rFonts w:ascii="Times New Roman" w:eastAsia="方正仿宋_GBK" w:hAnsi="Times New Roman"/>
                <w:b/>
                <w:bCs/>
                <w:sz w:val="28"/>
                <w:szCs w:val="28"/>
              </w:rPr>
              <w:t>。</w:t>
            </w:r>
            <w:r>
              <w:rPr>
                <w:rFonts w:ascii="Times New Roman" w:eastAsia="方正仿宋_GBK" w:hAnsi="Times New Roman"/>
                <w:sz w:val="28"/>
                <w:szCs w:val="28"/>
              </w:rPr>
              <w:t>针对老城区内朝阳片区、</w:t>
            </w:r>
            <w:proofErr w:type="gramStart"/>
            <w:r>
              <w:rPr>
                <w:rFonts w:ascii="Times New Roman" w:eastAsia="方正仿宋_GBK" w:hAnsi="Times New Roman"/>
                <w:sz w:val="28"/>
                <w:szCs w:val="28"/>
              </w:rPr>
              <w:t>建军路</w:t>
            </w:r>
            <w:proofErr w:type="gramEnd"/>
            <w:r>
              <w:rPr>
                <w:rFonts w:ascii="Times New Roman" w:eastAsia="方正仿宋_GBK" w:hAnsi="Times New Roman"/>
                <w:sz w:val="28"/>
                <w:szCs w:val="28"/>
              </w:rPr>
              <w:t>片区等重点更新片区，以市政府名义出台《关于推动朝阳片区城市更新的指导意见》《关于支持建军路文商旅街区焕新若干措施》，破解土地、资金、</w:t>
            </w:r>
            <w:r>
              <w:rPr>
                <w:rFonts w:ascii="Times New Roman" w:eastAsia="方正仿宋_GBK" w:hAnsi="Times New Roman" w:hint="eastAsia"/>
                <w:sz w:val="28"/>
                <w:szCs w:val="28"/>
              </w:rPr>
              <w:t>审批等</w:t>
            </w:r>
            <w:r>
              <w:rPr>
                <w:rFonts w:ascii="Times New Roman" w:eastAsia="方正仿宋_GBK" w:hAnsi="Times New Roman"/>
                <w:sz w:val="28"/>
                <w:szCs w:val="28"/>
              </w:rPr>
              <w:t>政策堵点难点，推动探索更新片区可持续实施路径。</w:t>
            </w:r>
          </w:p>
        </w:tc>
      </w:tr>
      <w:tr w:rsidR="00D60162" w14:paraId="1EEF4A3C" w14:textId="77777777">
        <w:trPr>
          <w:jc w:val="center"/>
        </w:trPr>
        <w:tc>
          <w:tcPr>
            <w:tcW w:w="313" w:type="pct"/>
            <w:vMerge/>
            <w:tcBorders>
              <w:top w:val="single" w:sz="4" w:space="0" w:color="000000"/>
              <w:left w:val="single" w:sz="4" w:space="0" w:color="000000"/>
              <w:bottom w:val="single" w:sz="4" w:space="0" w:color="000000"/>
              <w:right w:val="single" w:sz="4" w:space="0" w:color="000000"/>
            </w:tcBorders>
            <w:shd w:val="clear" w:color="auto" w:fill="auto"/>
            <w:vAlign w:val="center"/>
          </w:tcPr>
          <w:p w14:paraId="6F02E9CE" w14:textId="77777777" w:rsidR="00D60162" w:rsidRDefault="00D60162">
            <w:pPr>
              <w:rPr>
                <w:rFonts w:ascii="方正楷体_GBK" w:eastAsia="方正楷体_GBK" w:hAnsi="方正楷体_GBK" w:cs="方正楷体_GBK" w:hint="eastAsia"/>
                <w:sz w:val="20"/>
              </w:rPr>
            </w:pPr>
          </w:p>
        </w:tc>
        <w:tc>
          <w:tcPr>
            <w:tcW w:w="551" w:type="pct"/>
            <w:vMerge/>
            <w:tcBorders>
              <w:top w:val="single" w:sz="4" w:space="0" w:color="000000"/>
              <w:left w:val="single" w:sz="4" w:space="0" w:color="000000"/>
              <w:bottom w:val="single" w:sz="4" w:space="0" w:color="000000"/>
              <w:right w:val="single" w:sz="4" w:space="0" w:color="000000"/>
            </w:tcBorders>
            <w:shd w:val="clear" w:color="auto" w:fill="auto"/>
            <w:vAlign w:val="center"/>
          </w:tcPr>
          <w:p w14:paraId="5DD07AAC" w14:textId="77777777" w:rsidR="00D60162" w:rsidRDefault="00D60162">
            <w:pPr>
              <w:rPr>
                <w:rFonts w:ascii="方正楷体_GBK" w:eastAsia="方正楷体_GBK" w:hAnsi="方正楷体_GBK" w:cs="方正楷体_GBK" w:hint="eastAsia"/>
                <w:sz w:val="20"/>
              </w:rPr>
            </w:pPr>
          </w:p>
        </w:tc>
        <w:tc>
          <w:tcPr>
            <w:tcW w:w="556" w:type="pct"/>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14:paraId="21FEF59F" w14:textId="77777777" w:rsidR="00D60162" w:rsidRDefault="00000000">
            <w:pPr>
              <w:spacing w:line="400" w:lineRule="exact"/>
              <w:ind w:firstLine="0"/>
              <w:jc w:val="center"/>
              <w:rPr>
                <w:rFonts w:ascii="方正楷体_GBK" w:eastAsia="方正楷体_GBK" w:hAnsi="方正楷体_GBK" w:cs="方正楷体_GBK" w:hint="eastAsia"/>
                <w:kern w:val="2"/>
                <w:sz w:val="28"/>
              </w:rPr>
            </w:pPr>
            <w:r>
              <w:rPr>
                <w:rFonts w:ascii="方正楷体_GBK" w:eastAsia="方正楷体_GBK" w:hAnsi="方正楷体_GBK" w:cs="方正楷体_GBK" w:hint="eastAsia"/>
                <w:kern w:val="2"/>
                <w:sz w:val="28"/>
                <w:szCs w:val="28"/>
                <w:lang w:bidi="ar"/>
              </w:rPr>
              <w:t>创新权属归集模式</w:t>
            </w:r>
          </w:p>
        </w:tc>
        <w:tc>
          <w:tcPr>
            <w:tcW w:w="3579" w:type="pct"/>
            <w:tcBorders>
              <w:top w:val="single" w:sz="4" w:space="0" w:color="000000"/>
              <w:left w:val="single" w:sz="4" w:space="0" w:color="000000"/>
              <w:bottom w:val="single" w:sz="4" w:space="0" w:color="000000"/>
              <w:right w:val="single" w:sz="4" w:space="0" w:color="000000"/>
            </w:tcBorders>
            <w:shd w:val="clear" w:color="auto" w:fill="auto"/>
            <w:vAlign w:val="center"/>
          </w:tcPr>
          <w:p w14:paraId="4D21A622" w14:textId="77777777" w:rsidR="00D60162" w:rsidRDefault="00000000">
            <w:pPr>
              <w:pStyle w:val="11"/>
              <w:widowControl/>
              <w:numPr>
                <w:ilvl w:val="255"/>
                <w:numId w:val="0"/>
              </w:numPr>
              <w:spacing w:line="400" w:lineRule="exact"/>
              <w:rPr>
                <w:rFonts w:ascii="Times New Roman" w:eastAsia="方正仿宋_GBK" w:hAnsi="Times New Roman"/>
                <w:b/>
                <w:bCs/>
                <w:sz w:val="28"/>
                <w:szCs w:val="28"/>
              </w:rPr>
            </w:pPr>
            <w:r>
              <w:rPr>
                <w:rFonts w:ascii="Times New Roman" w:eastAsia="方正仿宋_GBK" w:hAnsi="Times New Roman" w:hint="eastAsia"/>
                <w:b/>
                <w:bCs/>
                <w:sz w:val="28"/>
                <w:szCs w:val="28"/>
                <w:lang w:eastAsia="zh"/>
              </w:rPr>
              <w:t>19.</w:t>
            </w:r>
            <w:r>
              <w:rPr>
                <w:rFonts w:ascii="Times New Roman" w:eastAsia="方正仿宋_GBK" w:hAnsi="Times New Roman"/>
                <w:b/>
                <w:bCs/>
                <w:sz w:val="28"/>
                <w:szCs w:val="28"/>
              </w:rPr>
              <w:t>无锡市火车站南广场片区项目采用</w:t>
            </w:r>
            <w:r>
              <w:rPr>
                <w:rFonts w:ascii="Times New Roman" w:eastAsia="方正仿宋_GBK" w:hAnsi="Times New Roman" w:hint="eastAsia"/>
                <w:b/>
                <w:bCs/>
                <w:sz w:val="28"/>
                <w:szCs w:val="28"/>
              </w:rPr>
              <w:t>归集、</w:t>
            </w:r>
            <w:r>
              <w:rPr>
                <w:rFonts w:ascii="Times New Roman" w:eastAsia="方正仿宋_GBK" w:hAnsi="Times New Roman"/>
                <w:b/>
                <w:bCs/>
                <w:sz w:val="28"/>
                <w:szCs w:val="28"/>
              </w:rPr>
              <w:t>置换、分层确权方式破解产权难题。</w:t>
            </w:r>
            <w:r>
              <w:rPr>
                <w:rFonts w:ascii="Times New Roman" w:eastAsia="方正仿宋_GBK" w:hAnsi="Times New Roman"/>
                <w:sz w:val="28"/>
                <w:szCs w:val="28"/>
              </w:rPr>
              <w:t>火车站南广场项目针对铁路局低效资产，与上海铁路局协商确定了</w:t>
            </w:r>
            <w:r>
              <w:rPr>
                <w:rFonts w:ascii="Times New Roman" w:eastAsia="方正仿宋_GBK" w:hAnsi="Times New Roman"/>
                <w:sz w:val="28"/>
                <w:szCs w:val="28"/>
              </w:rPr>
              <w:t>“</w:t>
            </w:r>
            <w:r>
              <w:rPr>
                <w:rFonts w:ascii="Times New Roman" w:eastAsia="方正仿宋_GBK" w:hAnsi="Times New Roman"/>
                <w:sz w:val="28"/>
                <w:szCs w:val="28"/>
              </w:rPr>
              <w:t>土地评估置换，房产归集还建</w:t>
            </w:r>
            <w:r>
              <w:rPr>
                <w:rFonts w:ascii="Times New Roman" w:eastAsia="方正仿宋_GBK" w:hAnsi="Times New Roman"/>
                <w:sz w:val="28"/>
                <w:szCs w:val="28"/>
              </w:rPr>
              <w:t>”</w:t>
            </w:r>
            <w:r>
              <w:rPr>
                <w:rFonts w:ascii="Times New Roman" w:eastAsia="方正仿宋_GBK" w:hAnsi="Times New Roman"/>
                <w:sz w:val="28"/>
                <w:szCs w:val="28"/>
              </w:rPr>
              <w:t>的方式推动更新；针对广场两翼国有闲置、低效资产，在保值、增值基础上进行归集，完善配套、导入产业，集中更新改造，打造新消费场景；在公交站上盖地块采用分层出让模式满足公益服务和管理需求；对闲置泰山饭店资产进行整体更新改造，探索建筑分层确权的不动产登记路径，满足不同主体的资产确权。</w:t>
            </w:r>
          </w:p>
        </w:tc>
      </w:tr>
      <w:tr w:rsidR="00D60162" w14:paraId="2BD363D5" w14:textId="77777777">
        <w:trPr>
          <w:trHeight w:val="1250"/>
          <w:jc w:val="center"/>
        </w:trPr>
        <w:tc>
          <w:tcPr>
            <w:tcW w:w="313" w:type="pct"/>
            <w:vMerge/>
            <w:tcBorders>
              <w:top w:val="single" w:sz="4" w:space="0" w:color="000000"/>
              <w:left w:val="single" w:sz="4" w:space="0" w:color="000000"/>
              <w:bottom w:val="single" w:sz="4" w:space="0" w:color="000000"/>
              <w:right w:val="single" w:sz="4" w:space="0" w:color="000000"/>
            </w:tcBorders>
            <w:shd w:val="clear" w:color="auto" w:fill="auto"/>
            <w:vAlign w:val="center"/>
          </w:tcPr>
          <w:p w14:paraId="5CFF9824" w14:textId="77777777" w:rsidR="00D60162" w:rsidRDefault="00D60162">
            <w:pPr>
              <w:rPr>
                <w:rFonts w:ascii="方正楷体_GBK" w:eastAsia="方正楷体_GBK" w:hAnsi="方正楷体_GBK" w:cs="方正楷体_GBK" w:hint="eastAsia"/>
                <w:sz w:val="20"/>
              </w:rPr>
            </w:pPr>
          </w:p>
        </w:tc>
        <w:tc>
          <w:tcPr>
            <w:tcW w:w="551" w:type="pct"/>
            <w:vMerge/>
            <w:tcBorders>
              <w:top w:val="single" w:sz="4" w:space="0" w:color="000000"/>
              <w:left w:val="single" w:sz="4" w:space="0" w:color="000000"/>
              <w:bottom w:val="single" w:sz="4" w:space="0" w:color="000000"/>
              <w:right w:val="single" w:sz="4" w:space="0" w:color="000000"/>
            </w:tcBorders>
            <w:shd w:val="clear" w:color="auto" w:fill="auto"/>
            <w:vAlign w:val="center"/>
          </w:tcPr>
          <w:p w14:paraId="547C8DB2" w14:textId="77777777" w:rsidR="00D60162" w:rsidRDefault="00D60162">
            <w:pPr>
              <w:rPr>
                <w:rFonts w:ascii="方正楷体_GBK" w:eastAsia="方正楷体_GBK" w:hAnsi="方正楷体_GBK" w:cs="方正楷体_GBK" w:hint="eastAsia"/>
                <w:sz w:val="20"/>
              </w:rPr>
            </w:pPr>
          </w:p>
        </w:tc>
        <w:tc>
          <w:tcPr>
            <w:tcW w:w="55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14:paraId="4954BFBA" w14:textId="77777777" w:rsidR="00D60162" w:rsidRDefault="00D60162">
            <w:pPr>
              <w:rPr>
                <w:rFonts w:ascii="方正楷体_GBK" w:eastAsia="方正楷体_GBK" w:hAnsi="方正楷体_GBK" w:cs="方正楷体_GBK" w:hint="eastAsia"/>
                <w:sz w:val="20"/>
              </w:rPr>
            </w:pPr>
          </w:p>
        </w:tc>
        <w:tc>
          <w:tcPr>
            <w:tcW w:w="3579" w:type="pct"/>
            <w:tcBorders>
              <w:top w:val="single" w:sz="4" w:space="0" w:color="000000"/>
              <w:left w:val="single" w:sz="4" w:space="0" w:color="000000"/>
              <w:bottom w:val="single" w:sz="4" w:space="0" w:color="000000"/>
              <w:right w:val="single" w:sz="4" w:space="0" w:color="000000"/>
            </w:tcBorders>
            <w:shd w:val="clear" w:color="auto" w:fill="auto"/>
            <w:vAlign w:val="center"/>
          </w:tcPr>
          <w:p w14:paraId="534C2925" w14:textId="77777777" w:rsidR="00D60162" w:rsidRDefault="00000000">
            <w:pPr>
              <w:pStyle w:val="11"/>
              <w:widowControl/>
              <w:numPr>
                <w:ilvl w:val="255"/>
                <w:numId w:val="0"/>
              </w:numPr>
              <w:spacing w:line="400" w:lineRule="exact"/>
              <w:rPr>
                <w:rFonts w:ascii="Times New Roman" w:eastAsia="方正仿宋_GBK" w:hAnsi="Times New Roman"/>
                <w:b/>
                <w:bCs/>
                <w:sz w:val="28"/>
                <w:szCs w:val="28"/>
              </w:rPr>
            </w:pPr>
            <w:r>
              <w:rPr>
                <w:rFonts w:ascii="Times New Roman" w:eastAsia="方正仿宋_GBK" w:hAnsi="Times New Roman" w:hint="eastAsia"/>
                <w:b/>
                <w:bCs/>
                <w:sz w:val="28"/>
                <w:szCs w:val="28"/>
                <w:lang w:eastAsia="zh"/>
              </w:rPr>
              <w:t>20.</w:t>
            </w:r>
            <w:r>
              <w:rPr>
                <w:rFonts w:ascii="Times New Roman" w:eastAsia="方正仿宋_GBK" w:hAnsi="Times New Roman"/>
                <w:b/>
                <w:bCs/>
                <w:sz w:val="28"/>
                <w:szCs w:val="28"/>
              </w:rPr>
              <w:t>常熟市创新采用使用权集中方式实现</w:t>
            </w:r>
            <w:r>
              <w:rPr>
                <w:rFonts w:ascii="Times New Roman" w:eastAsia="方正仿宋_GBK" w:hAnsi="Times New Roman" w:hint="eastAsia"/>
                <w:b/>
                <w:bCs/>
                <w:sz w:val="28"/>
                <w:szCs w:val="28"/>
              </w:rPr>
              <w:t>权属</w:t>
            </w:r>
            <w:r>
              <w:rPr>
                <w:rFonts w:ascii="Times New Roman" w:eastAsia="方正仿宋_GBK" w:hAnsi="Times New Roman"/>
                <w:b/>
                <w:bCs/>
                <w:sz w:val="28"/>
                <w:szCs w:val="28"/>
              </w:rPr>
              <w:t>归集。</w:t>
            </w:r>
            <w:r>
              <w:rPr>
                <w:rFonts w:ascii="Times New Roman" w:eastAsia="方正仿宋_GBK" w:hAnsi="Times New Roman"/>
                <w:sz w:val="28"/>
                <w:szCs w:val="28"/>
              </w:rPr>
              <w:t>西</w:t>
            </w:r>
            <w:proofErr w:type="gramStart"/>
            <w:r>
              <w:rPr>
                <w:rFonts w:ascii="Times New Roman" w:eastAsia="方正仿宋_GBK" w:hAnsi="Times New Roman"/>
                <w:sz w:val="28"/>
                <w:szCs w:val="28"/>
              </w:rPr>
              <w:t>泾岸历史</w:t>
            </w:r>
            <w:proofErr w:type="gramEnd"/>
            <w:r>
              <w:rPr>
                <w:rFonts w:ascii="Times New Roman" w:eastAsia="方正仿宋_GBK" w:hAnsi="Times New Roman"/>
                <w:sz w:val="28"/>
                <w:szCs w:val="28"/>
              </w:rPr>
              <w:t>文化街区创新采用</w:t>
            </w:r>
            <w:r>
              <w:rPr>
                <w:rFonts w:ascii="Times New Roman" w:eastAsia="方正仿宋_GBK" w:hAnsi="Times New Roman"/>
                <w:sz w:val="28"/>
                <w:szCs w:val="28"/>
              </w:rPr>
              <w:t>“</w:t>
            </w:r>
            <w:r>
              <w:rPr>
                <w:rFonts w:ascii="Times New Roman" w:eastAsia="方正仿宋_GBK" w:hAnsi="Times New Roman"/>
                <w:sz w:val="28"/>
                <w:szCs w:val="28"/>
              </w:rPr>
              <w:t>使用权集中</w:t>
            </w:r>
            <w:r>
              <w:rPr>
                <w:rFonts w:ascii="Times New Roman" w:eastAsia="方正仿宋_GBK" w:hAnsi="Times New Roman"/>
                <w:sz w:val="28"/>
                <w:szCs w:val="28"/>
              </w:rPr>
              <w:t>”</w:t>
            </w:r>
            <w:r>
              <w:rPr>
                <w:rFonts w:ascii="Times New Roman" w:eastAsia="方正仿宋_GBK" w:hAnsi="Times New Roman"/>
                <w:sz w:val="28"/>
                <w:szCs w:val="28"/>
              </w:rPr>
              <w:t>模式，在不改变原有产权结构前提下整合安全隐患突出、转租率、空置率高房屋，通过签订房屋使用权集中协议，形成</w:t>
            </w:r>
            <w:r>
              <w:rPr>
                <w:rFonts w:ascii="Times New Roman" w:eastAsia="方正仿宋_GBK" w:hAnsi="Times New Roman"/>
                <w:sz w:val="28"/>
                <w:szCs w:val="28"/>
              </w:rPr>
              <w:t>“</w:t>
            </w:r>
            <w:r>
              <w:rPr>
                <w:rFonts w:ascii="Times New Roman" w:eastAsia="方正仿宋_GBK" w:hAnsi="Times New Roman"/>
                <w:sz w:val="28"/>
                <w:szCs w:val="28"/>
              </w:rPr>
              <w:t>居住</w:t>
            </w:r>
            <w:r>
              <w:rPr>
                <w:rFonts w:ascii="Times New Roman" w:eastAsia="方正仿宋_GBK" w:hAnsi="Times New Roman"/>
                <w:sz w:val="28"/>
                <w:szCs w:val="28"/>
              </w:rPr>
              <w:t>”</w:t>
            </w:r>
            <w:r>
              <w:rPr>
                <w:rFonts w:ascii="Times New Roman" w:eastAsia="方正仿宋_GBK" w:hAnsi="Times New Roman"/>
                <w:sz w:val="28"/>
                <w:szCs w:val="28"/>
              </w:rPr>
              <w:t>与</w:t>
            </w:r>
            <w:r>
              <w:rPr>
                <w:rFonts w:ascii="Times New Roman" w:eastAsia="方正仿宋_GBK" w:hAnsi="Times New Roman"/>
                <w:sz w:val="28"/>
                <w:szCs w:val="28"/>
              </w:rPr>
              <w:t>“</w:t>
            </w:r>
            <w:r>
              <w:rPr>
                <w:rFonts w:ascii="Times New Roman" w:eastAsia="方正仿宋_GBK" w:hAnsi="Times New Roman"/>
                <w:sz w:val="28"/>
                <w:szCs w:val="28"/>
              </w:rPr>
              <w:t>活化</w:t>
            </w:r>
            <w:r>
              <w:rPr>
                <w:rFonts w:ascii="Times New Roman" w:eastAsia="方正仿宋_GBK" w:hAnsi="Times New Roman"/>
                <w:sz w:val="28"/>
                <w:szCs w:val="28"/>
              </w:rPr>
              <w:t>”</w:t>
            </w:r>
            <w:r>
              <w:rPr>
                <w:rFonts w:ascii="Times New Roman" w:eastAsia="方正仿宋_GBK" w:hAnsi="Times New Roman"/>
                <w:sz w:val="28"/>
                <w:szCs w:val="28"/>
              </w:rPr>
              <w:t>两类建筑院落，保障原住民居住需求同时引入市场化运营机制，有效规避产权纠纷与财政压力，盘活存量资源。</w:t>
            </w:r>
          </w:p>
        </w:tc>
      </w:tr>
      <w:tr w:rsidR="00D60162" w14:paraId="4FAE98A1" w14:textId="77777777">
        <w:trPr>
          <w:trHeight w:val="1250"/>
          <w:jc w:val="center"/>
        </w:trPr>
        <w:tc>
          <w:tcPr>
            <w:tcW w:w="313" w:type="pct"/>
            <w:vMerge/>
            <w:tcBorders>
              <w:top w:val="single" w:sz="4" w:space="0" w:color="000000"/>
              <w:left w:val="single" w:sz="4" w:space="0" w:color="000000"/>
              <w:bottom w:val="single" w:sz="4" w:space="0" w:color="000000"/>
              <w:right w:val="single" w:sz="4" w:space="0" w:color="000000"/>
            </w:tcBorders>
            <w:shd w:val="clear" w:color="auto" w:fill="auto"/>
            <w:vAlign w:val="center"/>
          </w:tcPr>
          <w:p w14:paraId="67A9B1BA" w14:textId="77777777" w:rsidR="00D60162" w:rsidRDefault="00D60162">
            <w:pPr>
              <w:rPr>
                <w:rFonts w:ascii="方正楷体_GBK" w:eastAsia="方正楷体_GBK" w:hAnsi="方正楷体_GBK" w:cs="方正楷体_GBK" w:hint="eastAsia"/>
                <w:sz w:val="20"/>
              </w:rPr>
            </w:pPr>
          </w:p>
        </w:tc>
        <w:tc>
          <w:tcPr>
            <w:tcW w:w="551" w:type="pct"/>
            <w:vMerge/>
            <w:tcBorders>
              <w:top w:val="single" w:sz="4" w:space="0" w:color="000000"/>
              <w:left w:val="single" w:sz="4" w:space="0" w:color="000000"/>
              <w:bottom w:val="single" w:sz="4" w:space="0" w:color="000000"/>
              <w:right w:val="single" w:sz="4" w:space="0" w:color="000000"/>
            </w:tcBorders>
            <w:shd w:val="clear" w:color="auto" w:fill="auto"/>
            <w:vAlign w:val="center"/>
          </w:tcPr>
          <w:p w14:paraId="7414141E" w14:textId="77777777" w:rsidR="00D60162" w:rsidRDefault="00D60162">
            <w:pPr>
              <w:rPr>
                <w:rFonts w:ascii="方正楷体_GBK" w:eastAsia="方正楷体_GBK" w:hAnsi="方正楷体_GBK" w:cs="方正楷体_GBK" w:hint="eastAsia"/>
                <w:sz w:val="20"/>
              </w:rPr>
            </w:pPr>
          </w:p>
        </w:tc>
        <w:tc>
          <w:tcPr>
            <w:tcW w:w="556" w:type="pct"/>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14:paraId="4154C426" w14:textId="77777777" w:rsidR="00D60162" w:rsidRDefault="00000000">
            <w:pPr>
              <w:spacing w:line="400" w:lineRule="exact"/>
              <w:ind w:firstLine="0"/>
              <w:jc w:val="center"/>
              <w:rPr>
                <w:rFonts w:ascii="方正楷体_GBK" w:eastAsia="方正楷体_GBK" w:hAnsi="方正楷体_GBK" w:cs="方正楷体_GBK" w:hint="eastAsia"/>
                <w:kern w:val="2"/>
                <w:sz w:val="28"/>
                <w:lang w:bidi="ar"/>
              </w:rPr>
            </w:pPr>
            <w:r>
              <w:rPr>
                <w:rFonts w:ascii="方正楷体_GBK" w:eastAsia="方正楷体_GBK" w:hAnsi="方正楷体_GBK" w:cs="方正楷体_GBK" w:hint="eastAsia"/>
                <w:kern w:val="2"/>
                <w:sz w:val="28"/>
                <w:szCs w:val="28"/>
                <w:lang w:bidi="ar"/>
              </w:rPr>
              <w:t>优化土地供应方式</w:t>
            </w:r>
          </w:p>
        </w:tc>
        <w:tc>
          <w:tcPr>
            <w:tcW w:w="3579" w:type="pct"/>
            <w:tcBorders>
              <w:top w:val="single" w:sz="4" w:space="0" w:color="000000"/>
              <w:left w:val="single" w:sz="4" w:space="0" w:color="000000"/>
              <w:bottom w:val="single" w:sz="4" w:space="0" w:color="000000"/>
              <w:right w:val="single" w:sz="4" w:space="0" w:color="000000"/>
            </w:tcBorders>
            <w:shd w:val="clear" w:color="auto" w:fill="auto"/>
            <w:vAlign w:val="center"/>
          </w:tcPr>
          <w:p w14:paraId="6BF5CC61" w14:textId="77777777" w:rsidR="00D60162" w:rsidRDefault="00000000">
            <w:pPr>
              <w:pStyle w:val="11"/>
              <w:widowControl/>
              <w:numPr>
                <w:ilvl w:val="255"/>
                <w:numId w:val="0"/>
              </w:numPr>
              <w:spacing w:line="400" w:lineRule="exact"/>
              <w:rPr>
                <w:rFonts w:ascii="Times New Roman" w:eastAsia="方正仿宋_GBK" w:hAnsi="Times New Roman"/>
                <w:b/>
                <w:bCs/>
                <w:sz w:val="28"/>
                <w:szCs w:val="28"/>
              </w:rPr>
            </w:pPr>
            <w:r>
              <w:rPr>
                <w:rFonts w:ascii="Times New Roman" w:eastAsia="方正仿宋_GBK" w:hAnsi="Times New Roman" w:hint="eastAsia"/>
                <w:b/>
                <w:bCs/>
                <w:sz w:val="28"/>
                <w:szCs w:val="28"/>
                <w:lang w:eastAsia="zh"/>
              </w:rPr>
              <w:t>21.</w:t>
            </w:r>
            <w:r>
              <w:rPr>
                <w:rFonts w:ascii="Times New Roman" w:eastAsia="方正仿宋_GBK" w:hAnsi="Times New Roman"/>
                <w:b/>
                <w:bCs/>
                <w:sz w:val="28"/>
                <w:szCs w:val="28"/>
              </w:rPr>
              <w:t>阜宁县</w:t>
            </w:r>
            <w:r>
              <w:rPr>
                <w:rFonts w:ascii="Times New Roman" w:eastAsia="方正仿宋_GBK" w:hAnsi="Times New Roman" w:hint="eastAsia"/>
                <w:b/>
                <w:bCs/>
                <w:sz w:val="28"/>
                <w:szCs w:val="28"/>
              </w:rPr>
              <w:t>闲置楼宇再利用项目</w:t>
            </w:r>
            <w:r>
              <w:rPr>
                <w:rFonts w:ascii="Times New Roman" w:eastAsia="方正仿宋_GBK" w:hAnsi="Times New Roman"/>
                <w:b/>
                <w:bCs/>
                <w:sz w:val="28"/>
                <w:szCs w:val="28"/>
              </w:rPr>
              <w:t>优化土地及产权审批流程。</w:t>
            </w:r>
            <w:r>
              <w:rPr>
                <w:rFonts w:ascii="Times New Roman" w:eastAsia="方正仿宋_GBK" w:hAnsi="Times New Roman"/>
                <w:sz w:val="28"/>
                <w:szCs w:val="28"/>
              </w:rPr>
              <w:t>推进地标建筑城发大厦闲置楼宇再利用，原土地使用权人对城发大厦项目用地进行了分割，分割后的土地使用权转让给县属国有企业，实现商务办公用地与商业服务业用地相互转换，推动闲置楼宇盘活利用。</w:t>
            </w:r>
          </w:p>
        </w:tc>
      </w:tr>
      <w:tr w:rsidR="00D60162" w14:paraId="07963D67" w14:textId="77777777">
        <w:trPr>
          <w:jc w:val="center"/>
        </w:trPr>
        <w:tc>
          <w:tcPr>
            <w:tcW w:w="313" w:type="pct"/>
            <w:vMerge/>
            <w:tcBorders>
              <w:top w:val="single" w:sz="4" w:space="0" w:color="000000"/>
              <w:left w:val="single" w:sz="4" w:space="0" w:color="000000"/>
              <w:bottom w:val="single" w:sz="4" w:space="0" w:color="000000"/>
              <w:right w:val="single" w:sz="4" w:space="0" w:color="000000"/>
            </w:tcBorders>
            <w:shd w:val="clear" w:color="auto" w:fill="auto"/>
            <w:vAlign w:val="center"/>
          </w:tcPr>
          <w:p w14:paraId="782227D6" w14:textId="77777777" w:rsidR="00D60162" w:rsidRDefault="00D60162">
            <w:pPr>
              <w:rPr>
                <w:rFonts w:ascii="方正楷体_GBK" w:eastAsia="方正楷体_GBK" w:hAnsi="方正楷体_GBK" w:cs="方正楷体_GBK" w:hint="eastAsia"/>
                <w:sz w:val="20"/>
              </w:rPr>
            </w:pPr>
          </w:p>
        </w:tc>
        <w:tc>
          <w:tcPr>
            <w:tcW w:w="551" w:type="pct"/>
            <w:vMerge/>
            <w:tcBorders>
              <w:top w:val="single" w:sz="4" w:space="0" w:color="000000"/>
              <w:left w:val="single" w:sz="4" w:space="0" w:color="000000"/>
              <w:bottom w:val="single" w:sz="4" w:space="0" w:color="000000"/>
              <w:right w:val="single" w:sz="4" w:space="0" w:color="000000"/>
            </w:tcBorders>
            <w:shd w:val="clear" w:color="auto" w:fill="auto"/>
            <w:vAlign w:val="center"/>
          </w:tcPr>
          <w:p w14:paraId="515F244B" w14:textId="77777777" w:rsidR="00D60162" w:rsidRDefault="00D60162">
            <w:pPr>
              <w:rPr>
                <w:rFonts w:ascii="方正楷体_GBK" w:eastAsia="方正楷体_GBK" w:hAnsi="方正楷体_GBK" w:cs="方正楷体_GBK" w:hint="eastAsia"/>
                <w:sz w:val="20"/>
              </w:rPr>
            </w:pPr>
          </w:p>
        </w:tc>
        <w:tc>
          <w:tcPr>
            <w:tcW w:w="55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14:paraId="4A002C49" w14:textId="77777777" w:rsidR="00D60162" w:rsidRDefault="00D60162">
            <w:pPr>
              <w:spacing w:line="400" w:lineRule="exact"/>
              <w:jc w:val="center"/>
              <w:rPr>
                <w:rFonts w:ascii="方正楷体_GBK" w:eastAsia="方正楷体_GBK" w:hAnsi="方正楷体_GBK" w:cs="方正楷体_GBK" w:hint="eastAsia"/>
                <w:kern w:val="2"/>
                <w:sz w:val="28"/>
                <w:szCs w:val="28"/>
                <w:lang w:bidi="ar"/>
              </w:rPr>
            </w:pPr>
          </w:p>
        </w:tc>
        <w:tc>
          <w:tcPr>
            <w:tcW w:w="3579" w:type="pct"/>
            <w:tcBorders>
              <w:top w:val="single" w:sz="4" w:space="0" w:color="000000"/>
              <w:left w:val="single" w:sz="4" w:space="0" w:color="000000"/>
              <w:bottom w:val="single" w:sz="4" w:space="0" w:color="000000"/>
              <w:right w:val="single" w:sz="4" w:space="0" w:color="000000"/>
            </w:tcBorders>
            <w:shd w:val="clear" w:color="auto" w:fill="auto"/>
            <w:vAlign w:val="center"/>
          </w:tcPr>
          <w:p w14:paraId="03AFBA99" w14:textId="77777777" w:rsidR="00D60162" w:rsidRDefault="00000000">
            <w:pPr>
              <w:pStyle w:val="11"/>
              <w:widowControl/>
              <w:numPr>
                <w:ilvl w:val="255"/>
                <w:numId w:val="0"/>
              </w:numPr>
              <w:spacing w:line="400" w:lineRule="exact"/>
              <w:rPr>
                <w:rFonts w:ascii="Times New Roman" w:eastAsia="方正仿宋_GBK" w:hAnsi="Times New Roman"/>
                <w:b/>
                <w:bCs/>
                <w:sz w:val="28"/>
                <w:szCs w:val="28"/>
              </w:rPr>
            </w:pPr>
            <w:r>
              <w:rPr>
                <w:rFonts w:ascii="Times New Roman" w:eastAsia="方正仿宋_GBK" w:hAnsi="Times New Roman" w:hint="eastAsia"/>
                <w:b/>
                <w:bCs/>
                <w:sz w:val="28"/>
                <w:szCs w:val="28"/>
                <w:lang w:eastAsia="zh"/>
              </w:rPr>
              <w:t>22.</w:t>
            </w:r>
            <w:r>
              <w:rPr>
                <w:rFonts w:ascii="Times New Roman" w:eastAsia="方正仿宋_GBK" w:hAnsi="Times New Roman"/>
                <w:b/>
                <w:bCs/>
                <w:sz w:val="28"/>
                <w:szCs w:val="28"/>
              </w:rPr>
              <w:t>扬州市创新土地供应方式激活国有资产价值。</w:t>
            </w:r>
            <w:r>
              <w:rPr>
                <w:rFonts w:ascii="Times New Roman" w:eastAsia="方正仿宋_GBK" w:hAnsi="Times New Roman"/>
                <w:sz w:val="28"/>
                <w:szCs w:val="28"/>
              </w:rPr>
              <w:t>出台《扬州市市区直管公房活化利用实施方案》，采用出租、委托经营、划转等策略，实现</w:t>
            </w:r>
            <w:r>
              <w:rPr>
                <w:rFonts w:ascii="Times New Roman" w:eastAsia="方正仿宋_GBK" w:hAnsi="Times New Roman"/>
                <w:sz w:val="28"/>
                <w:szCs w:val="28"/>
              </w:rPr>
              <w:t>260</w:t>
            </w:r>
            <w:r>
              <w:rPr>
                <w:rFonts w:ascii="Times New Roman" w:eastAsia="方正仿宋_GBK" w:hAnsi="Times New Roman"/>
                <w:sz w:val="28"/>
                <w:szCs w:val="28"/>
              </w:rPr>
              <w:t>处、</w:t>
            </w:r>
            <w:r>
              <w:rPr>
                <w:rFonts w:ascii="Times New Roman" w:eastAsia="方正仿宋_GBK" w:hAnsi="Times New Roman"/>
                <w:sz w:val="28"/>
                <w:szCs w:val="28"/>
              </w:rPr>
              <w:t>4</w:t>
            </w:r>
            <w:r>
              <w:rPr>
                <w:rFonts w:ascii="Times New Roman" w:eastAsia="方正仿宋_GBK" w:hAnsi="Times New Roman"/>
                <w:sz w:val="28"/>
                <w:szCs w:val="28"/>
              </w:rPr>
              <w:t>万多平方米的闲置公房资源活化利用；采用</w:t>
            </w:r>
            <w:r>
              <w:rPr>
                <w:rFonts w:ascii="Times New Roman" w:eastAsia="方正仿宋_GBK" w:hAnsi="Times New Roman"/>
                <w:sz w:val="28"/>
                <w:szCs w:val="28"/>
              </w:rPr>
              <w:t>“</w:t>
            </w:r>
            <w:r>
              <w:rPr>
                <w:rFonts w:ascii="Times New Roman" w:eastAsia="方正仿宋_GBK" w:hAnsi="Times New Roman"/>
                <w:sz w:val="28"/>
                <w:szCs w:val="28"/>
              </w:rPr>
              <w:t>带现状挂牌出让</w:t>
            </w:r>
            <w:r>
              <w:rPr>
                <w:rFonts w:ascii="Times New Roman" w:eastAsia="方正仿宋_GBK" w:hAnsi="Times New Roman"/>
                <w:sz w:val="28"/>
                <w:szCs w:val="28"/>
              </w:rPr>
              <w:t>”</w:t>
            </w:r>
            <w:r>
              <w:rPr>
                <w:rFonts w:ascii="Times New Roman" w:eastAsia="方正仿宋_GBK" w:hAnsi="Times New Roman"/>
                <w:sz w:val="28"/>
                <w:szCs w:val="28"/>
              </w:rPr>
              <w:t>方式盘活观巷</w:t>
            </w:r>
            <w:r>
              <w:rPr>
                <w:rFonts w:ascii="Times New Roman" w:eastAsia="方正仿宋_GBK" w:hAnsi="Times New Roman"/>
                <w:sz w:val="28"/>
                <w:szCs w:val="28"/>
              </w:rPr>
              <w:t>77</w:t>
            </w:r>
            <w:r>
              <w:rPr>
                <w:rFonts w:ascii="Times New Roman" w:eastAsia="方正仿宋_GBK" w:hAnsi="Times New Roman"/>
                <w:sz w:val="28"/>
                <w:szCs w:val="28"/>
              </w:rPr>
              <w:t>号、南河下</w:t>
            </w:r>
            <w:r>
              <w:rPr>
                <w:rFonts w:ascii="Times New Roman" w:eastAsia="方正仿宋_GBK" w:hAnsi="Times New Roman"/>
                <w:sz w:val="28"/>
                <w:szCs w:val="28"/>
              </w:rPr>
              <w:t>35</w:t>
            </w:r>
            <w:r>
              <w:rPr>
                <w:rFonts w:ascii="Times New Roman" w:eastAsia="方正仿宋_GBK" w:hAnsi="Times New Roman"/>
                <w:sz w:val="28"/>
                <w:szCs w:val="28"/>
              </w:rPr>
              <w:t>号、原工艺美术二厂、原扬子商场等两批</w:t>
            </w:r>
            <w:r>
              <w:rPr>
                <w:rFonts w:ascii="Times New Roman" w:eastAsia="方正仿宋_GBK" w:hAnsi="Times New Roman"/>
                <w:sz w:val="28"/>
                <w:szCs w:val="28"/>
              </w:rPr>
              <w:t>13</w:t>
            </w:r>
            <w:r>
              <w:rPr>
                <w:rFonts w:ascii="Times New Roman" w:eastAsia="方正仿宋_GBK" w:hAnsi="Times New Roman"/>
                <w:sz w:val="28"/>
                <w:szCs w:val="28"/>
              </w:rPr>
              <w:t>宗地块，推动国有资产增值与产业升级。</w:t>
            </w:r>
          </w:p>
        </w:tc>
      </w:tr>
      <w:tr w:rsidR="00D60162" w14:paraId="3B3A4EFB" w14:textId="77777777">
        <w:trPr>
          <w:jc w:val="center"/>
        </w:trPr>
        <w:tc>
          <w:tcPr>
            <w:tcW w:w="313" w:type="pct"/>
            <w:vMerge/>
            <w:tcBorders>
              <w:top w:val="single" w:sz="4" w:space="0" w:color="000000"/>
              <w:left w:val="single" w:sz="4" w:space="0" w:color="000000"/>
              <w:bottom w:val="single" w:sz="4" w:space="0" w:color="000000"/>
              <w:right w:val="single" w:sz="4" w:space="0" w:color="000000"/>
            </w:tcBorders>
            <w:shd w:val="clear" w:color="auto" w:fill="auto"/>
            <w:vAlign w:val="center"/>
          </w:tcPr>
          <w:p w14:paraId="29BE4647" w14:textId="77777777" w:rsidR="00D60162" w:rsidRDefault="00D60162">
            <w:pPr>
              <w:rPr>
                <w:rFonts w:ascii="方正楷体_GBK" w:eastAsia="方正楷体_GBK" w:hAnsi="方正楷体_GBK" w:cs="方正楷体_GBK" w:hint="eastAsia"/>
                <w:sz w:val="20"/>
              </w:rPr>
            </w:pPr>
          </w:p>
        </w:tc>
        <w:tc>
          <w:tcPr>
            <w:tcW w:w="551" w:type="pct"/>
            <w:vMerge/>
            <w:tcBorders>
              <w:top w:val="single" w:sz="4" w:space="0" w:color="000000"/>
              <w:left w:val="single" w:sz="4" w:space="0" w:color="000000"/>
              <w:bottom w:val="single" w:sz="4" w:space="0" w:color="000000"/>
              <w:right w:val="single" w:sz="4" w:space="0" w:color="000000"/>
            </w:tcBorders>
            <w:shd w:val="clear" w:color="auto" w:fill="auto"/>
            <w:vAlign w:val="center"/>
          </w:tcPr>
          <w:p w14:paraId="039ACB91" w14:textId="77777777" w:rsidR="00D60162" w:rsidRDefault="00D60162">
            <w:pPr>
              <w:rPr>
                <w:rFonts w:ascii="方正楷体_GBK" w:eastAsia="方正楷体_GBK" w:hAnsi="方正楷体_GBK" w:cs="方正楷体_GBK" w:hint="eastAsia"/>
                <w:sz w:val="20"/>
              </w:rPr>
            </w:pPr>
          </w:p>
        </w:tc>
        <w:tc>
          <w:tcPr>
            <w:tcW w:w="556" w:type="pct"/>
            <w:tcBorders>
              <w:top w:val="single" w:sz="4" w:space="0" w:color="000000"/>
              <w:left w:val="single" w:sz="4" w:space="0" w:color="000000"/>
              <w:bottom w:val="single" w:sz="4" w:space="0" w:color="000000"/>
              <w:right w:val="single" w:sz="4" w:space="0" w:color="000000"/>
            </w:tcBorders>
            <w:shd w:val="clear" w:color="auto" w:fill="auto"/>
            <w:vAlign w:val="center"/>
          </w:tcPr>
          <w:p w14:paraId="64802EDF" w14:textId="77777777" w:rsidR="00D60162" w:rsidRDefault="00000000">
            <w:pPr>
              <w:spacing w:line="400" w:lineRule="exact"/>
              <w:ind w:firstLine="0"/>
              <w:jc w:val="center"/>
              <w:rPr>
                <w:rFonts w:ascii="方正楷体_GBK" w:eastAsia="方正楷体_GBK" w:hAnsi="方正楷体_GBK" w:cs="方正楷体_GBK" w:hint="eastAsia"/>
                <w:kern w:val="2"/>
                <w:sz w:val="28"/>
                <w:lang w:bidi="ar"/>
              </w:rPr>
            </w:pPr>
            <w:r>
              <w:rPr>
                <w:rFonts w:ascii="方正楷体_GBK" w:eastAsia="方正楷体_GBK" w:hAnsi="方正楷体_GBK" w:cs="方正楷体_GBK" w:hint="eastAsia"/>
                <w:kern w:val="2"/>
                <w:sz w:val="28"/>
                <w:szCs w:val="28"/>
                <w:lang w:bidi="ar"/>
              </w:rPr>
              <w:t>探索房屋安全管理制度</w:t>
            </w:r>
          </w:p>
        </w:tc>
        <w:tc>
          <w:tcPr>
            <w:tcW w:w="3579" w:type="pct"/>
            <w:tcBorders>
              <w:top w:val="single" w:sz="4" w:space="0" w:color="000000"/>
              <w:left w:val="single" w:sz="4" w:space="0" w:color="000000"/>
              <w:bottom w:val="single" w:sz="4" w:space="0" w:color="000000"/>
              <w:right w:val="single" w:sz="4" w:space="0" w:color="000000"/>
            </w:tcBorders>
            <w:shd w:val="clear" w:color="auto" w:fill="auto"/>
            <w:vAlign w:val="center"/>
          </w:tcPr>
          <w:p w14:paraId="24931FDE" w14:textId="77777777" w:rsidR="00D60162" w:rsidRDefault="00000000">
            <w:pPr>
              <w:pStyle w:val="11"/>
              <w:widowControl/>
              <w:numPr>
                <w:ilvl w:val="255"/>
                <w:numId w:val="0"/>
              </w:numPr>
              <w:spacing w:line="400" w:lineRule="exact"/>
              <w:rPr>
                <w:rFonts w:ascii="Times New Roman" w:eastAsia="方正仿宋_GBK" w:hAnsi="Times New Roman"/>
                <w:b/>
                <w:bCs/>
                <w:sz w:val="28"/>
                <w:szCs w:val="28"/>
              </w:rPr>
            </w:pPr>
            <w:r>
              <w:rPr>
                <w:rFonts w:ascii="Times New Roman" w:eastAsia="方正仿宋_GBK" w:hAnsi="Times New Roman" w:hint="eastAsia"/>
                <w:b/>
                <w:bCs/>
                <w:sz w:val="28"/>
                <w:szCs w:val="28"/>
                <w:lang w:eastAsia="zh"/>
              </w:rPr>
              <w:t>23.</w:t>
            </w:r>
            <w:r>
              <w:rPr>
                <w:rFonts w:ascii="Times New Roman" w:eastAsia="方正仿宋_GBK" w:hAnsi="Times New Roman"/>
                <w:b/>
                <w:bCs/>
                <w:sz w:val="28"/>
                <w:szCs w:val="28"/>
              </w:rPr>
              <w:t>徐州市推进房屋养老金及房屋保险制度试点工作。</w:t>
            </w:r>
            <w:r>
              <w:rPr>
                <w:rFonts w:ascii="Times New Roman" w:eastAsia="方正仿宋_GBK" w:hAnsi="Times New Roman"/>
                <w:sz w:val="28"/>
                <w:szCs w:val="28"/>
              </w:rPr>
              <w:t>积极推进房屋养老金及房屋保险制度试点工作，通过</w:t>
            </w:r>
            <w:r>
              <w:rPr>
                <w:rFonts w:ascii="Times New Roman" w:eastAsia="方正仿宋_GBK" w:hAnsi="Times New Roman"/>
                <w:sz w:val="28"/>
                <w:szCs w:val="28"/>
              </w:rPr>
              <w:t>“</w:t>
            </w:r>
            <w:r>
              <w:rPr>
                <w:rFonts w:ascii="Times New Roman" w:eastAsia="方正仿宋_GBK" w:hAnsi="Times New Roman"/>
                <w:sz w:val="28"/>
                <w:szCs w:val="28"/>
              </w:rPr>
              <w:t>双账户</w:t>
            </w:r>
            <w:r>
              <w:rPr>
                <w:rFonts w:ascii="Times New Roman" w:eastAsia="方正仿宋_GBK" w:hAnsi="Times New Roman"/>
                <w:sz w:val="28"/>
                <w:szCs w:val="28"/>
              </w:rPr>
              <w:t>”</w:t>
            </w:r>
            <w:r>
              <w:rPr>
                <w:rFonts w:ascii="Times New Roman" w:eastAsia="方正仿宋_GBK" w:hAnsi="Times New Roman"/>
                <w:sz w:val="28"/>
                <w:szCs w:val="28"/>
              </w:rPr>
              <w:t>模式夯实资金，公共账户资金以政府财政投入为主，个人账户为业主交存的住宅专项维修资金，已覆盖</w:t>
            </w:r>
            <w:r>
              <w:rPr>
                <w:rFonts w:ascii="Times New Roman" w:eastAsia="方正仿宋_GBK" w:hAnsi="Times New Roman"/>
                <w:sz w:val="28"/>
                <w:szCs w:val="28"/>
              </w:rPr>
              <w:t>242</w:t>
            </w:r>
            <w:r>
              <w:rPr>
                <w:rFonts w:ascii="Times New Roman" w:eastAsia="方正仿宋_GBK" w:hAnsi="Times New Roman"/>
                <w:sz w:val="28"/>
                <w:szCs w:val="28"/>
              </w:rPr>
              <w:t>个小区，开发房屋安全管理信息化平台，实现房屋体检、维修记录、保险理赔、资金使用的全流程数字化监管。</w:t>
            </w:r>
          </w:p>
        </w:tc>
      </w:tr>
    </w:tbl>
    <w:p w14:paraId="5162B1EA" w14:textId="77777777" w:rsidR="00D60162" w:rsidRDefault="00D60162">
      <w:pPr>
        <w:pStyle w:val="ac"/>
        <w:snapToGrid w:val="0"/>
        <w:spacing w:line="100" w:lineRule="atLeast"/>
        <w:ind w:left="-57" w:right="-57"/>
        <w:rPr>
          <w:b/>
        </w:rPr>
      </w:pPr>
    </w:p>
    <w:sectPr w:rsidR="00D60162" w:rsidSect="00910E68">
      <w:headerReference w:type="even" r:id="rId7"/>
      <w:headerReference w:type="default" r:id="rId8"/>
      <w:footerReference w:type="even" r:id="rId9"/>
      <w:footerReference w:type="default" r:id="rId10"/>
      <w:headerReference w:type="first" r:id="rId11"/>
      <w:footerReference w:type="first" r:id="rId12"/>
      <w:pgSz w:w="16838" w:h="11906" w:orient="landscape"/>
      <w:pgMar w:top="1531" w:right="1814" w:bottom="1531" w:left="1985" w:header="720" w:footer="1474" w:gutter="0"/>
      <w:paperSrc w:first="15" w:other="15"/>
      <w:cols w:space="720"/>
      <w:docGrid w:type="linesAndChars" w:linePitch="590" w:charSpace="-1024"/>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5BB61B69" w14:textId="77777777" w:rsidR="00172E53" w:rsidRDefault="00172E53">
      <w:pPr>
        <w:spacing w:line="240" w:lineRule="auto"/>
      </w:pPr>
      <w:r>
        <w:separator/>
      </w:r>
    </w:p>
  </w:endnote>
  <w:endnote w:type="continuationSeparator" w:id="0">
    <w:p w14:paraId="4E20CC40" w14:textId="77777777" w:rsidR="00172E53" w:rsidRDefault="00172E53">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方正仿宋_GBK">
    <w:panose1 w:val="03000509000000000000"/>
    <w:charset w:val="86"/>
    <w:family w:val="script"/>
    <w:pitch w:val="fixed"/>
    <w:sig w:usb0="00000001" w:usb1="080E0000" w:usb2="00000010" w:usb3="00000000" w:csb0="00040000" w:csb1="00000000"/>
  </w:font>
  <w:font w:name="方正小标宋_GBK">
    <w:panose1 w:val="03000509000000000000"/>
    <w:charset w:val="86"/>
    <w:family w:val="script"/>
    <w:pitch w:val="fixed"/>
    <w:sig w:usb0="00000001" w:usb1="080E0000" w:usb2="00000010" w:usb3="00000000" w:csb0="00040000" w:csb1="00000000"/>
  </w:font>
  <w:font w:name="方正楷体_GBK">
    <w:panose1 w:val="03000509000000000000"/>
    <w:charset w:val="86"/>
    <w:family w:val="script"/>
    <w:pitch w:val="fixed"/>
    <w:sig w:usb0="00000001" w:usb1="080E0000" w:usb2="00000010" w:usb3="00000000" w:csb0="00040000" w:csb1="00000000"/>
  </w:font>
  <w:font w:name="方正黑体_GBK">
    <w:panose1 w:val="03000509000000000000"/>
    <w:charset w:val="86"/>
    <w:family w:val="script"/>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汉鼎简大宋">
    <w:altName w:val="微软雅黑"/>
    <w:charset w:val="86"/>
    <w:family w:val="modern"/>
    <w:pitch w:val="default"/>
    <w:sig w:usb0="00000000" w:usb1="00000000" w:usb2="00000010" w:usb3="00000000" w:csb0="00040000" w:csb1="00000000"/>
  </w:font>
  <w:font w:name="汉鼎简黑体">
    <w:altName w:val="方正黑体_GBK"/>
    <w:charset w:val="86"/>
    <w:family w:val="modern"/>
    <w:pitch w:val="default"/>
    <w:sig w:usb0="00000000" w:usb1="00000000" w:usb2="00000010" w:usb3="00000000" w:csb0="00040000"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8677C65" w14:textId="77777777" w:rsidR="00D60162" w:rsidRDefault="00000000">
    <w:pPr>
      <w:pStyle w:val="a4"/>
      <w:ind w:leftChars="100" w:left="320" w:rightChars="100" w:right="320"/>
      <w:jc w:val="both"/>
    </w:pPr>
    <w:r>
      <w:rPr>
        <w:noProof/>
      </w:rPr>
      <mc:AlternateContent>
        <mc:Choice Requires="wps">
          <w:drawing>
            <wp:anchor distT="0" distB="0" distL="114300" distR="114300" simplePos="0" relativeHeight="251662336" behindDoc="0" locked="0" layoutInCell="1" allowOverlap="1" wp14:anchorId="57412CD3" wp14:editId="7A616D4C">
              <wp:simplePos x="0" y="0"/>
              <wp:positionH relativeFrom="margin">
                <wp:align>outside</wp:align>
              </wp:positionH>
              <wp:positionV relativeFrom="paragraph">
                <wp:posOffset>0</wp:posOffset>
              </wp:positionV>
              <wp:extent cx="1828800" cy="1828800"/>
              <wp:effectExtent l="0" t="0" r="0" b="0"/>
              <wp:wrapNone/>
              <wp:docPr id="15" name="文本框 1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5E7BB268" w14:textId="77777777" w:rsidR="00D60162" w:rsidRDefault="00000000">
                          <w:pPr>
                            <w:pStyle w:val="a4"/>
                            <w:ind w:leftChars="100" w:left="320" w:rightChars="100" w:right="320"/>
                            <w:jc w:val="both"/>
                          </w:pPr>
                          <w:r>
                            <w:rPr>
                              <w:rFonts w:hint="eastAsia"/>
                            </w:rPr>
                            <w:t>—</w:t>
                          </w:r>
                          <w:r>
                            <w:rPr>
                              <w:rFonts w:hint="eastAsia"/>
                            </w:rPr>
                            <w:t xml:space="preserve"> </w:t>
                          </w:r>
                          <w:r>
                            <w:rPr>
                              <w:rStyle w:val="a7"/>
                            </w:rPr>
                            <w:fldChar w:fldCharType="begin"/>
                          </w:r>
                          <w:r>
                            <w:rPr>
                              <w:rStyle w:val="a7"/>
                            </w:rPr>
                            <w:instrText xml:space="preserve"> PAGE </w:instrText>
                          </w:r>
                          <w:r>
                            <w:rPr>
                              <w:rStyle w:val="a7"/>
                            </w:rPr>
                            <w:fldChar w:fldCharType="separate"/>
                          </w:r>
                          <w:r>
                            <w:rPr>
                              <w:rStyle w:val="a7"/>
                            </w:rPr>
                            <w:t>2</w:t>
                          </w:r>
                          <w:r>
                            <w:rPr>
                              <w:rStyle w:val="a7"/>
                            </w:rPr>
                            <w:fldChar w:fldCharType="end"/>
                          </w:r>
                          <w:r>
                            <w:rPr>
                              <w:rStyle w:val="a7"/>
                              <w:rFonts w:hint="eastAsia"/>
                            </w:rPr>
                            <w:t xml:space="preserve"> </w:t>
                          </w:r>
                          <w:r>
                            <w:rPr>
                              <w:rFonts w:hint="eastAsia"/>
                            </w:rPr>
                            <w:t>—</w:t>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w14:anchorId="57412CD3" id="_x0000_t202" coordsize="21600,21600" o:spt="202" path="m,l,21600r21600,l21600,xe">
              <v:stroke joinstyle="miter"/>
              <v:path gradientshapeok="t" o:connecttype="rect"/>
            </v:shapetype>
            <v:shape id="文本框 15" o:spid="_x0000_s1026" type="#_x0000_t202" style="position:absolute;left:0;text-align:left;margin-left:92.8pt;margin-top:0;width:2in;height:2in;z-index:251662336;visibility:visible;mso-wrap-style:none;mso-wrap-distance-left:9pt;mso-wrap-distance-top:0;mso-wrap-distance-right:9pt;mso-wrap-distance-bottom:0;mso-position-horizontal:outsid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" filled="f" stroked="f" strokeweight=".5pt">
              <v:textbox style="mso-fit-shape-to-text:t" inset="0,0,0,0">
                <w:txbxContent>
                  <w:p w14:paraId="5E7BB268" w14:textId="77777777" w:rsidR="00D60162" w:rsidRDefault="00000000">
                    <w:pPr>
                      <w:pStyle w:val="a4"/>
                      <w:ind w:leftChars="100" w:left="320" w:rightChars="100" w:right="320"/>
                      <w:jc w:val="both"/>
                    </w:pPr>
                    <w:r>
                      <w:rPr>
                        <w:rFonts w:hint="eastAsia"/>
                      </w:rPr>
                      <w:t>—</w:t>
                    </w:r>
                    <w:r>
                      <w:rPr>
                        <w:rFonts w:hint="eastAsia"/>
                      </w:rPr>
                      <w:t xml:space="preserve"> </w:t>
                    </w:r>
                    <w:r>
                      <w:rPr>
                        <w:rStyle w:val="a7"/>
                      </w:rPr>
                      <w:fldChar w:fldCharType="begin"/>
                    </w:r>
                    <w:r>
                      <w:rPr>
                        <w:rStyle w:val="a7"/>
                      </w:rPr>
                      <w:instrText xml:space="preserve"> PAGE </w:instrText>
                    </w:r>
                    <w:r>
                      <w:rPr>
                        <w:rStyle w:val="a7"/>
                      </w:rPr>
                      <w:fldChar w:fldCharType="separate"/>
                    </w:r>
                    <w:r>
                      <w:rPr>
                        <w:rStyle w:val="a7"/>
                      </w:rPr>
                      <w:t>2</w:t>
                    </w:r>
                    <w:r>
                      <w:rPr>
                        <w:rStyle w:val="a7"/>
                      </w:rPr>
                      <w:fldChar w:fldCharType="end"/>
                    </w:r>
                    <w:r>
                      <w:rPr>
                        <w:rStyle w:val="a7"/>
                        <w:rFonts w:hint="eastAsia"/>
                      </w:rPr>
                      <w:t xml:space="preserve"> </w:t>
                    </w:r>
                    <w:r>
                      <w:rPr>
                        <w:rFonts w:hint="eastAsia"/>
                      </w:rPr>
                      <w:t>—</w:t>
                    </w:r>
                  </w:p>
                </w:txbxContent>
              </v:textbox>
              <w10:wrap anchorx="margin"/>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FE7966B" w14:textId="77777777" w:rsidR="00D60162" w:rsidRDefault="00000000">
    <w:pPr>
      <w:pStyle w:val="a4"/>
      <w:ind w:leftChars="100" w:left="320" w:rightChars="100" w:right="320"/>
      <w:jc w:val="right"/>
    </w:pPr>
    <w:r>
      <w:rPr>
        <w:noProof/>
      </w:rPr>
      <mc:AlternateContent>
        <mc:Choice Requires="wps">
          <w:drawing>
            <wp:anchor distT="0" distB="0" distL="114300" distR="114300" simplePos="0" relativeHeight="251661312" behindDoc="0" locked="0" layoutInCell="1" allowOverlap="1" wp14:anchorId="06AAE3DD" wp14:editId="64F45473">
              <wp:simplePos x="0" y="0"/>
              <wp:positionH relativeFrom="margin">
                <wp:align>outside</wp:align>
              </wp:positionH>
              <wp:positionV relativeFrom="paragraph">
                <wp:posOffset>0</wp:posOffset>
              </wp:positionV>
              <wp:extent cx="1828800" cy="1828800"/>
              <wp:effectExtent l="0" t="0" r="0" b="0"/>
              <wp:wrapNone/>
              <wp:docPr id="14" name="文本框 1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4ECD4AF0" w14:textId="786029B4" w:rsidR="00D60162" w:rsidRDefault="00000000">
                          <w:pPr>
                            <w:pStyle w:val="a4"/>
                            <w:ind w:leftChars="100" w:left="320" w:rightChars="100" w:right="320"/>
                            <w:jc w:val="right"/>
                          </w:pPr>
                          <w:r>
                            <w:rPr>
                              <w:rFonts w:hint="eastAsia"/>
                            </w:rPr>
                            <w:t>—</w:t>
                          </w:r>
                          <w:r>
                            <w:rPr>
                              <w:rFonts w:hint="eastAsia"/>
                            </w:rPr>
                            <w:t xml:space="preserve"> </w:t>
                          </w:r>
                          <w:r>
                            <w:rPr>
                              <w:rStyle w:val="a7"/>
                            </w:rPr>
                            <w:fldChar w:fldCharType="begin"/>
                          </w:r>
                          <w:r>
                            <w:rPr>
                              <w:rStyle w:val="a7"/>
                            </w:rPr>
                            <w:instrText xml:space="preserve"> PAGE </w:instrText>
                          </w:r>
                          <w:r>
                            <w:rPr>
                              <w:rStyle w:val="a7"/>
                            </w:rPr>
                            <w:fldChar w:fldCharType="separate"/>
                          </w:r>
                          <w:r>
                            <w:rPr>
                              <w:rStyle w:val="a7"/>
                            </w:rPr>
                            <w:t>1</w:t>
                          </w:r>
                          <w:r>
                            <w:rPr>
                              <w:rStyle w:val="a7"/>
                            </w:rPr>
                            <w:fldChar w:fldCharType="end"/>
                          </w:r>
                          <w:r>
                            <w:rPr>
                              <w:rStyle w:val="a7"/>
                              <w:rFonts w:hint="eastAsia"/>
                            </w:rPr>
                            <w:t xml:space="preserve"> </w:t>
                          </w:r>
                          <w:r>
                            <w:rPr>
                              <w:rFonts w:hint="eastAsia"/>
                            </w:rPr>
                            <w:t>—</w:t>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w14:anchorId="06AAE3DD" id="_x0000_t202" coordsize="21600,21600" o:spt="202" path="m,l,21600r21600,l21600,xe">
              <v:stroke joinstyle="miter"/>
              <v:path gradientshapeok="t" o:connecttype="rect"/>
            </v:shapetype>
            <v:shape id="文本框 14" o:spid="_x0000_s1027" type="#_x0000_t202" style="position:absolute;left:0;text-align:left;margin-left:92.8pt;margin-top:0;width:2in;height:2in;z-index:251661312;visibility:visible;mso-wrap-style:none;mso-wrap-distance-left:9pt;mso-wrap-distance-top:0;mso-wrap-distance-right:9pt;mso-wrap-distance-bottom:0;mso-position-horizontal:outsid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" filled="f" stroked="f" strokeweight=".5pt">
              <v:textbox style="mso-fit-shape-to-text:t" inset="0,0,0,0">
                <w:txbxContent>
                  <w:p w14:paraId="4ECD4AF0" w14:textId="786029B4" w:rsidR="00D60162" w:rsidRDefault="00000000">
                    <w:pPr>
                      <w:pStyle w:val="a4"/>
                      <w:ind w:leftChars="100" w:left="320" w:rightChars="100" w:right="320"/>
                      <w:jc w:val="right"/>
                    </w:pPr>
                    <w:r>
                      <w:rPr>
                        <w:rFonts w:hint="eastAsia"/>
                      </w:rPr>
                      <w:t>—</w:t>
                    </w:r>
                    <w:r>
                      <w:rPr>
                        <w:rFonts w:hint="eastAsia"/>
                      </w:rPr>
                      <w:t xml:space="preserve"> </w:t>
                    </w:r>
                    <w:r>
                      <w:rPr>
                        <w:rStyle w:val="a7"/>
                      </w:rPr>
                      <w:fldChar w:fldCharType="begin"/>
                    </w:r>
                    <w:r>
                      <w:rPr>
                        <w:rStyle w:val="a7"/>
                      </w:rPr>
                      <w:instrText xml:space="preserve"> PAGE </w:instrText>
                    </w:r>
                    <w:r>
                      <w:rPr>
                        <w:rStyle w:val="a7"/>
                      </w:rPr>
                      <w:fldChar w:fldCharType="separate"/>
                    </w:r>
                    <w:r>
                      <w:rPr>
                        <w:rStyle w:val="a7"/>
                      </w:rPr>
                      <w:t>1</w:t>
                    </w:r>
                    <w:r>
                      <w:rPr>
                        <w:rStyle w:val="a7"/>
                      </w:rPr>
                      <w:fldChar w:fldCharType="end"/>
                    </w:r>
                    <w:r>
                      <w:rPr>
                        <w:rStyle w:val="a7"/>
                        <w:rFonts w:hint="eastAsia"/>
                      </w:rPr>
                      <w:t xml:space="preserve"> </w:t>
                    </w:r>
                    <w:r>
                      <w:rPr>
                        <w:rFonts w:hint="eastAsia"/>
                      </w:rPr>
                      <w:t>—</w:t>
                    </w:r>
                  </w:p>
                </w:txbxContent>
              </v:textbox>
              <w10:wrap anchorx="margin"/>
            </v:shape>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DAD31E5" w14:textId="77777777" w:rsidR="00910E68" w:rsidRDefault="00910E68">
    <w:pPr>
      <w:pStyle w:val="a4"/>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538A5A6A" w14:textId="77777777" w:rsidR="00172E53" w:rsidRDefault="00172E53">
      <w:pPr>
        <w:spacing w:line="240" w:lineRule="auto"/>
      </w:pPr>
      <w:r>
        <w:separator/>
      </w:r>
    </w:p>
  </w:footnote>
  <w:footnote w:type="continuationSeparator" w:id="0">
    <w:p w14:paraId="1A87FDE1" w14:textId="77777777" w:rsidR="00172E53" w:rsidRDefault="00172E53">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1C5EC5C" w14:textId="77777777" w:rsidR="00910E68" w:rsidRPr="007E19C5" w:rsidRDefault="00910E68" w:rsidP="007E19C5"/>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CD81EB3" w14:textId="77777777" w:rsidR="00910E68" w:rsidRPr="00910E68" w:rsidRDefault="00910E68" w:rsidP="00910E68"/>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DF8AE3A" w14:textId="77777777" w:rsidR="00910E68" w:rsidRDefault="00910E68">
    <w:pPr>
      <w:pStyle w:val="a5"/>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70"/>
  <w:proofState w:spelling="clean" w:grammar="clean"/>
  <w:defaultTabStop w:val="425"/>
  <w:evenAndOddHeaders/>
  <w:drawingGridHorizontalSpacing w:val="315"/>
  <w:drawingGridVerticalSpacing w:val="295"/>
  <w:displayHorizontalDrawingGridEvery w:val="0"/>
  <w:displayVerticalDrawingGridEvery w:val="2"/>
  <w:characterSpacingControl w:val="compressPunctuation"/>
  <w:noLineBreaksAfter w:lang="zh-CN" w:val="([{·‘“〈《「『【〔〖（．［｛￡￥"/>
  <w:noLineBreaksBefore w:lang="zh-CN" w:val="!),.:;?]}¨·ˇˉ―‖’”…∶、。〃々〉》」』】〕〗！＂％＇），．：；？］｀｜｝～￠"/>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324D105E"/>
    <w:rsid w:val="8BF77B7E"/>
    <w:rsid w:val="94EF2423"/>
    <w:rsid w:val="9E7F6024"/>
    <w:rsid w:val="ADF3B14E"/>
    <w:rsid w:val="B5502951"/>
    <w:rsid w:val="B5BF7B56"/>
    <w:rsid w:val="BFFE1BBF"/>
    <w:rsid w:val="BFFF27C5"/>
    <w:rsid w:val="DB793E18"/>
    <w:rsid w:val="DEF8836B"/>
    <w:rsid w:val="DFF6D888"/>
    <w:rsid w:val="F59B639A"/>
    <w:rsid w:val="F5FB4FEB"/>
    <w:rsid w:val="F6F720E1"/>
    <w:rsid w:val="F8FB9035"/>
    <w:rsid w:val="FAF5DD55"/>
    <w:rsid w:val="FBE74745"/>
    <w:rsid w:val="FDAD02CA"/>
    <w:rsid w:val="FF7C1C8B"/>
    <w:rsid w:val="FFEC1ACB"/>
    <w:rsid w:val="FFFA91A2"/>
    <w:rsid w:val="00004491"/>
    <w:rsid w:val="00024D59"/>
    <w:rsid w:val="00026EC9"/>
    <w:rsid w:val="00026F78"/>
    <w:rsid w:val="000458F6"/>
    <w:rsid w:val="00086865"/>
    <w:rsid w:val="00092103"/>
    <w:rsid w:val="00150E8C"/>
    <w:rsid w:val="00172E53"/>
    <w:rsid w:val="0017326B"/>
    <w:rsid w:val="001A760C"/>
    <w:rsid w:val="001B0021"/>
    <w:rsid w:val="00210BC5"/>
    <w:rsid w:val="00245BF1"/>
    <w:rsid w:val="0025543A"/>
    <w:rsid w:val="002C67E8"/>
    <w:rsid w:val="003055DA"/>
    <w:rsid w:val="00310770"/>
    <w:rsid w:val="0035559D"/>
    <w:rsid w:val="00384509"/>
    <w:rsid w:val="003B6C15"/>
    <w:rsid w:val="003D4AA7"/>
    <w:rsid w:val="003D78FE"/>
    <w:rsid w:val="003F2C4E"/>
    <w:rsid w:val="004E4535"/>
    <w:rsid w:val="004F5C29"/>
    <w:rsid w:val="00514536"/>
    <w:rsid w:val="005421C5"/>
    <w:rsid w:val="00544264"/>
    <w:rsid w:val="005A0672"/>
    <w:rsid w:val="006558DD"/>
    <w:rsid w:val="00660926"/>
    <w:rsid w:val="00670554"/>
    <w:rsid w:val="00680F42"/>
    <w:rsid w:val="006C67D5"/>
    <w:rsid w:val="006E59B5"/>
    <w:rsid w:val="007A4692"/>
    <w:rsid w:val="007A66C9"/>
    <w:rsid w:val="007E19C5"/>
    <w:rsid w:val="00910E68"/>
    <w:rsid w:val="00A27EE0"/>
    <w:rsid w:val="00A445C2"/>
    <w:rsid w:val="00A76B0B"/>
    <w:rsid w:val="00A86587"/>
    <w:rsid w:val="00AB1867"/>
    <w:rsid w:val="00B37374"/>
    <w:rsid w:val="00B65B1F"/>
    <w:rsid w:val="00C224B9"/>
    <w:rsid w:val="00C25057"/>
    <w:rsid w:val="00C73BD2"/>
    <w:rsid w:val="00C818C1"/>
    <w:rsid w:val="00D30301"/>
    <w:rsid w:val="00D60162"/>
    <w:rsid w:val="00DC1B78"/>
    <w:rsid w:val="00DE6B66"/>
    <w:rsid w:val="00EA0244"/>
    <w:rsid w:val="00EC0461"/>
    <w:rsid w:val="00F33B1C"/>
    <w:rsid w:val="00F42CF8"/>
    <w:rsid w:val="00F53AAD"/>
    <w:rsid w:val="00F90B02"/>
    <w:rsid w:val="00FE33C9"/>
    <w:rsid w:val="0A9C4262"/>
    <w:rsid w:val="1E564E5E"/>
    <w:rsid w:val="29DBF7B6"/>
    <w:rsid w:val="324D105E"/>
    <w:rsid w:val="35DF7F10"/>
    <w:rsid w:val="37FF1E44"/>
    <w:rsid w:val="3DFD5E91"/>
    <w:rsid w:val="4FBE9DBB"/>
    <w:rsid w:val="51FF8628"/>
    <w:rsid w:val="52A95F39"/>
    <w:rsid w:val="5D0443B2"/>
    <w:rsid w:val="6C77585A"/>
    <w:rsid w:val="6D7F5F2A"/>
    <w:rsid w:val="6F7B1599"/>
    <w:rsid w:val="6FFF732F"/>
    <w:rsid w:val="6FFF8E1F"/>
    <w:rsid w:val="75E748EA"/>
    <w:rsid w:val="7BBFDD87"/>
    <w:rsid w:val="7EFFAEB5"/>
    <w:rsid w:val="7F9F30FF"/>
    <w:rsid w:val="7FBB7F2C"/>
    <w:rsid w:val="7FF870E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707B840B"/>
  <w15:docId w15:val="{D6598C0D-1374-4721-B300-FDCE954524C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376">
    <w:lsdException w:name="Normal" w:qFormat="1"/>
    <w:lsdException w:name="heading 1" w:qFormat="1"/>
    <w:lsdException w:name="Normal Indent" w:qFormat="1"/>
    <w:lsdException w:name="header" w:qFormat="1"/>
    <w:lsdException w:name="footer" w:qFormat="1"/>
    <w:lsdException w:name="page number" w:qFormat="1"/>
    <w:lsdException w:name="Default Paragraph Font" w:semiHidden="1" w:qFormat="1"/>
    <w:lsdException w:name="HTML Top of Form" w:semiHidden="1" w:uiPriority="99" w:unhideWhenUsed="1"/>
    <w:lsdException w:name="HTML Bottom of Form" w:semiHidden="1" w:uiPriority="99" w:unhideWhenUsed="1"/>
    <w:lsdException w:name="Normal Table" w:semiHidden="1"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qFormat="1"/>
    <w:lsdException w:name="Table Theme" w:semiHidden="1"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qFormat/>
    <w:pPr>
      <w:widowControl w:val="0"/>
      <w:autoSpaceDE w:val="0"/>
      <w:autoSpaceDN w:val="0"/>
      <w:snapToGrid w:val="0"/>
      <w:spacing w:line="590" w:lineRule="atLeast"/>
      <w:ind w:firstLine="624"/>
      <w:jc w:val="both"/>
    </w:pPr>
    <w:rPr>
      <w:rFonts w:eastAsia="方正仿宋_GBK"/>
      <w:snapToGrid w:val="0"/>
      <w:sz w:val="32"/>
    </w:rPr>
  </w:style>
  <w:style w:type="paragraph" w:styleId="1">
    <w:name w:val="heading 1"/>
    <w:basedOn w:val="a"/>
    <w:next w:val="a"/>
    <w:qFormat/>
    <w:pPr>
      <w:keepNext/>
      <w:keepLines/>
      <w:spacing w:before="340" w:after="330" w:line="578" w:lineRule="atLeast"/>
      <w:outlineLvl w:val="0"/>
    </w:pPr>
    <w:rPr>
      <w:b/>
      <w:kern w:val="44"/>
      <w:sz w:val="4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Indent"/>
    <w:basedOn w:val="a"/>
    <w:next w:val="a"/>
    <w:qFormat/>
    <w:pPr>
      <w:adjustRightInd w:val="0"/>
      <w:snapToGrid/>
      <w:ind w:firstLine="0"/>
      <w:jc w:val="left"/>
    </w:pPr>
    <w:rPr>
      <w:spacing w:val="-25"/>
    </w:rPr>
  </w:style>
  <w:style w:type="paragraph" w:styleId="a4">
    <w:name w:val="footer"/>
    <w:basedOn w:val="a"/>
    <w:qFormat/>
    <w:pPr>
      <w:tabs>
        <w:tab w:val="center" w:pos="4153"/>
        <w:tab w:val="right" w:pos="8306"/>
      </w:tabs>
      <w:spacing w:line="400" w:lineRule="atLeast"/>
      <w:ind w:firstLine="0"/>
      <w:jc w:val="center"/>
    </w:pPr>
    <w:rPr>
      <w:sz w:val="28"/>
    </w:rPr>
  </w:style>
  <w:style w:type="paragraph" w:styleId="a5">
    <w:name w:val="header"/>
    <w:basedOn w:val="a"/>
    <w:qFormat/>
    <w:pPr>
      <w:pBdr>
        <w:bottom w:val="single" w:sz="6" w:space="1" w:color="auto"/>
      </w:pBdr>
      <w:tabs>
        <w:tab w:val="center" w:pos="4153"/>
        <w:tab w:val="right" w:pos="8306"/>
      </w:tabs>
      <w:spacing w:line="240" w:lineRule="atLeast"/>
      <w:jc w:val="center"/>
    </w:pPr>
    <w:rPr>
      <w:sz w:val="18"/>
    </w:rPr>
  </w:style>
  <w:style w:type="table" w:styleId="a6">
    <w:name w:val="Table Grid"/>
    <w:basedOn w:val="a1"/>
    <w:qFormat/>
    <w:pPr>
      <w:widowControl w:val="0"/>
      <w:autoSpaceDE w:val="0"/>
      <w:autoSpaceDN w:val="0"/>
      <w:snapToGrid w:val="0"/>
      <w:spacing w:line="590" w:lineRule="atLeast"/>
      <w:ind w:firstLine="624"/>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7">
    <w:name w:val="page number"/>
    <w:basedOn w:val="a0"/>
    <w:qFormat/>
  </w:style>
  <w:style w:type="paragraph" w:customStyle="1" w:styleId="10">
    <w:name w:val="标题1"/>
    <w:basedOn w:val="a"/>
    <w:next w:val="a"/>
    <w:qFormat/>
    <w:pPr>
      <w:tabs>
        <w:tab w:val="left" w:pos="9193"/>
        <w:tab w:val="left" w:pos="9827"/>
      </w:tabs>
      <w:spacing w:line="700" w:lineRule="atLeast"/>
      <w:ind w:firstLine="0"/>
      <w:jc w:val="center"/>
    </w:pPr>
    <w:rPr>
      <w:rFonts w:eastAsia="方正小标宋_GBK"/>
      <w:sz w:val="44"/>
    </w:rPr>
  </w:style>
  <w:style w:type="paragraph" w:customStyle="1" w:styleId="a8">
    <w:name w:val="红线"/>
    <w:basedOn w:val="1"/>
    <w:qFormat/>
    <w:pPr>
      <w:keepNext w:val="0"/>
      <w:keepLines w:val="0"/>
      <w:adjustRightInd w:val="0"/>
      <w:snapToGrid/>
      <w:spacing w:before="0" w:after="851" w:line="227" w:lineRule="atLeast"/>
      <w:ind w:right="-142" w:firstLine="0"/>
      <w:jc w:val="center"/>
      <w:outlineLvl w:val="9"/>
    </w:pPr>
    <w:rPr>
      <w:rFonts w:ascii="宋体" w:eastAsia="宋体"/>
      <w:kern w:val="0"/>
      <w:sz w:val="10"/>
    </w:rPr>
  </w:style>
  <w:style w:type="paragraph" w:customStyle="1" w:styleId="2">
    <w:name w:val="标题2"/>
    <w:basedOn w:val="a"/>
    <w:next w:val="a"/>
    <w:qFormat/>
    <w:pPr>
      <w:ind w:firstLine="0"/>
      <w:jc w:val="center"/>
    </w:pPr>
    <w:rPr>
      <w:rFonts w:eastAsia="方正楷体_GBK"/>
    </w:rPr>
  </w:style>
  <w:style w:type="paragraph" w:customStyle="1" w:styleId="3">
    <w:name w:val="标题3"/>
    <w:basedOn w:val="a"/>
    <w:next w:val="a"/>
    <w:qFormat/>
    <w:rPr>
      <w:rFonts w:eastAsia="方正黑体_GBK"/>
    </w:rPr>
  </w:style>
  <w:style w:type="paragraph" w:customStyle="1" w:styleId="a9">
    <w:name w:val="密级"/>
    <w:basedOn w:val="a"/>
    <w:qFormat/>
    <w:pPr>
      <w:adjustRightInd w:val="0"/>
      <w:snapToGrid/>
      <w:spacing w:line="425" w:lineRule="atLeast"/>
      <w:ind w:firstLine="0"/>
      <w:jc w:val="right"/>
    </w:pPr>
    <w:rPr>
      <w:rFonts w:ascii="黑体" w:eastAsia="黑体"/>
      <w:sz w:val="30"/>
    </w:rPr>
  </w:style>
  <w:style w:type="paragraph" w:customStyle="1" w:styleId="aa">
    <w:name w:val="主题词"/>
    <w:basedOn w:val="a"/>
    <w:qFormat/>
    <w:pPr>
      <w:adjustRightInd w:val="0"/>
      <w:snapToGrid/>
      <w:spacing w:line="240" w:lineRule="atLeast"/>
      <w:ind w:firstLine="0"/>
      <w:jc w:val="left"/>
    </w:pPr>
    <w:rPr>
      <w:rFonts w:ascii="方正黑体_GBK" w:eastAsia="方正黑体_GBK"/>
    </w:rPr>
  </w:style>
  <w:style w:type="paragraph" w:customStyle="1" w:styleId="ab">
    <w:name w:val="抄送栏"/>
    <w:basedOn w:val="a"/>
    <w:qFormat/>
    <w:pPr>
      <w:adjustRightInd w:val="0"/>
      <w:snapToGrid/>
      <w:spacing w:line="454" w:lineRule="atLeast"/>
      <w:ind w:left="1310" w:right="357" w:hanging="953"/>
    </w:pPr>
  </w:style>
  <w:style w:type="paragraph" w:customStyle="1" w:styleId="ac">
    <w:name w:val="线型"/>
    <w:basedOn w:val="ab"/>
    <w:qFormat/>
    <w:pPr>
      <w:spacing w:line="240" w:lineRule="auto"/>
      <w:ind w:left="0" w:firstLine="0"/>
      <w:jc w:val="center"/>
    </w:pPr>
    <w:rPr>
      <w:sz w:val="21"/>
    </w:rPr>
  </w:style>
  <w:style w:type="paragraph" w:customStyle="1" w:styleId="ad">
    <w:name w:val="印发栏"/>
    <w:basedOn w:val="a3"/>
    <w:qFormat/>
    <w:pPr>
      <w:tabs>
        <w:tab w:val="right" w:pos="8465"/>
      </w:tabs>
      <w:spacing w:line="454" w:lineRule="atLeast"/>
      <w:ind w:left="357" w:right="357"/>
    </w:pPr>
    <w:rPr>
      <w:spacing w:val="0"/>
    </w:rPr>
  </w:style>
  <w:style w:type="paragraph" w:customStyle="1" w:styleId="ae">
    <w:name w:val="印数"/>
    <w:basedOn w:val="ad"/>
    <w:qFormat/>
    <w:pPr>
      <w:spacing w:line="400" w:lineRule="atLeast"/>
      <w:ind w:left="0" w:right="0"/>
      <w:jc w:val="right"/>
    </w:pPr>
  </w:style>
  <w:style w:type="paragraph" w:customStyle="1" w:styleId="af">
    <w:name w:val="附件栏"/>
    <w:basedOn w:val="a"/>
    <w:qFormat/>
  </w:style>
  <w:style w:type="paragraph" w:customStyle="1" w:styleId="af0">
    <w:name w:val="文头"/>
    <w:basedOn w:val="a"/>
    <w:qFormat/>
    <w:pPr>
      <w:tabs>
        <w:tab w:val="left" w:pos="6663"/>
      </w:tabs>
      <w:spacing w:after="800" w:line="1500" w:lineRule="atLeast"/>
      <w:ind w:left="511" w:right="227" w:hanging="284"/>
      <w:jc w:val="distribute"/>
    </w:pPr>
    <w:rPr>
      <w:rFonts w:ascii="汉鼎简大宋" w:eastAsia="汉鼎简大宋"/>
      <w:b/>
      <w:color w:val="FF0000"/>
      <w:w w:val="62"/>
      <w:sz w:val="140"/>
    </w:rPr>
  </w:style>
  <w:style w:type="paragraph" w:customStyle="1" w:styleId="af1">
    <w:name w:val="紧急程度"/>
    <w:basedOn w:val="a9"/>
    <w:qFormat/>
    <w:pPr>
      <w:spacing w:line="397" w:lineRule="atLeast"/>
    </w:pPr>
    <w:rPr>
      <w:rFonts w:ascii="汉鼎简黑体" w:eastAsia="汉鼎简黑体" w:hAnsi="汉鼎简黑体"/>
      <w:sz w:val="32"/>
    </w:rPr>
  </w:style>
  <w:style w:type="paragraph" w:customStyle="1" w:styleId="88526">
    <w:name w:val="样式 主题词 + 段后: 8.85 磅 行距: 固定值 26 磅"/>
    <w:basedOn w:val="aa"/>
    <w:qFormat/>
    <w:pPr>
      <w:spacing w:after="177" w:line="520" w:lineRule="exact"/>
    </w:pPr>
    <w:rPr>
      <w:rFonts w:cs="宋体"/>
      <w:bCs/>
    </w:rPr>
  </w:style>
  <w:style w:type="paragraph" w:customStyle="1" w:styleId="11">
    <w:name w:val="列表段落1"/>
    <w:basedOn w:val="a"/>
    <w:hidden/>
    <w:qFormat/>
    <w:pPr>
      <w:ind w:firstLineChars="200" w:firstLine="420"/>
    </w:pPr>
    <w:rPr>
      <w:rFonts w:ascii="Calibri" w:eastAsia="宋体" w:hAnsi="Calibri"/>
      <w:kern w:val="2"/>
      <w:sz w:val="21"/>
      <w:szCs w:val="21"/>
    </w:rPr>
  </w:style>
  <w:style w:type="paragraph" w:styleId="af2">
    <w:name w:val="Revision"/>
    <w:hidden/>
    <w:uiPriority w:val="99"/>
    <w:unhideWhenUsed/>
    <w:rsid w:val="00910E68"/>
    <w:rPr>
      <w:rFonts w:eastAsia="方正仿宋_GBK"/>
      <w:snapToGrid w:val="0"/>
      <w:sz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7</Pages>
  <Words>640</Words>
  <Characters>3648</Characters>
  <Application>Microsoft Office Word</Application>
  <DocSecurity>0</DocSecurity>
  <Lines>30</Lines>
  <Paragraphs>8</Paragraphs>
  <ScaleCrop>false</ScaleCrop>
  <Company/>
  <LinksUpToDate>false</LinksUpToDate>
  <CharactersWithSpaces>4280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省厅2（下行）</dc:title>
  <dc:creator>zjt</dc:creator>
  <cp:lastModifiedBy>hp</cp:lastModifiedBy>
  <cp:revision>3</cp:revision>
  <dcterms:created xsi:type="dcterms:W3CDTF">2025-10-31T07:48:00Z</dcterms:created>
  <dcterms:modified xsi:type="dcterms:W3CDTF">2025-10-31T07:48:00Z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2052-11.8.2.9958</vt:lpwstr>
  </property>
</Properties>
</file>