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ACC9A">
      <w:pPr>
        <w:spacing w:line="560" w:lineRule="exact"/>
        <w:rPr>
          <w:rFonts w:hint="default" w:eastAsia="方正黑体_GBK"/>
          <w:snapToGrid w:val="0"/>
          <w:color w:val="000000"/>
          <w:kern w:val="0"/>
          <w:szCs w:val="32"/>
          <w:lang w:val="en-US" w:eastAsia="zh-CN"/>
        </w:rPr>
      </w:pPr>
      <w:r>
        <w:rPr>
          <w:rFonts w:eastAsia="方正黑体_GBK"/>
          <w:snapToGrid w:val="0"/>
          <w:color w:val="000000"/>
          <w:kern w:val="0"/>
          <w:szCs w:val="32"/>
        </w:rPr>
        <w:t>附件</w:t>
      </w:r>
      <w:r>
        <w:rPr>
          <w:rFonts w:hint="eastAsia" w:eastAsia="方正黑体_GBK"/>
          <w:snapToGrid w:val="0"/>
          <w:color w:val="000000"/>
          <w:kern w:val="0"/>
          <w:szCs w:val="32"/>
          <w:lang w:val="en-US" w:eastAsia="zh-CN"/>
        </w:rPr>
        <w:t>19</w:t>
      </w:r>
    </w:p>
    <w:p w14:paraId="0561C11E">
      <w:pPr>
        <w:spacing w:line="560" w:lineRule="exact"/>
        <w:rPr>
          <w:color w:val="000000"/>
          <w:kern w:val="0"/>
          <w:szCs w:val="32"/>
        </w:rPr>
      </w:pPr>
    </w:p>
    <w:p w14:paraId="6F6A9F06">
      <w:pPr>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相关概念定义</w:t>
      </w:r>
    </w:p>
    <w:p w14:paraId="511FD653">
      <w:pPr>
        <w:spacing w:line="560" w:lineRule="exact"/>
        <w:jc w:val="center"/>
        <w:rPr>
          <w:snapToGrid w:val="0"/>
          <w:color w:val="000000"/>
          <w:kern w:val="32"/>
          <w:szCs w:val="32"/>
        </w:rPr>
      </w:pPr>
    </w:p>
    <w:p w14:paraId="54337208">
      <w:pPr>
        <w:tabs>
          <w:tab w:val="left" w:pos="0"/>
        </w:tabs>
        <w:spacing w:line="560" w:lineRule="exact"/>
        <w:ind w:right="-34" w:firstLine="646" w:firstLineChars="202"/>
        <w:rPr>
          <w:snapToGrid w:val="0"/>
          <w:color w:val="000000"/>
          <w:kern w:val="32"/>
          <w:szCs w:val="32"/>
        </w:rPr>
      </w:pPr>
      <w:r>
        <w:rPr>
          <w:snapToGrid w:val="0"/>
          <w:color w:val="000000"/>
          <w:kern w:val="32"/>
          <w:szCs w:val="32"/>
        </w:rPr>
        <w:t>1．工程分类</w:t>
      </w:r>
    </w:p>
    <w:p w14:paraId="52D80FE5">
      <w:pPr>
        <w:tabs>
          <w:tab w:val="left" w:pos="0"/>
        </w:tabs>
        <w:spacing w:line="560" w:lineRule="exact"/>
        <w:ind w:right="-34" w:firstLine="646" w:firstLineChars="202"/>
        <w:rPr>
          <w:snapToGrid w:val="0"/>
          <w:color w:val="000000"/>
          <w:kern w:val="32"/>
          <w:szCs w:val="32"/>
        </w:rPr>
      </w:pPr>
      <w:r>
        <w:rPr>
          <w:snapToGrid w:val="0"/>
          <w:color w:val="000000"/>
          <w:kern w:val="32"/>
          <w:szCs w:val="32"/>
        </w:rPr>
        <w:t>特大型工程是指施工单项合同估算价在10000万元以上的房屋建筑和市政基础设施总承包工程，单项合同估算价在5000万元以上的装饰装修、安装、钢结构、幕墙工程，单项合同估算价在2000万元以上的智能化、土石方、桩基、基坑支护、园林绿化等专业工程。</w:t>
      </w:r>
    </w:p>
    <w:p w14:paraId="25D4167E">
      <w:pPr>
        <w:tabs>
          <w:tab w:val="left" w:pos="0"/>
        </w:tabs>
        <w:spacing w:line="560" w:lineRule="exact"/>
        <w:ind w:right="-34" w:firstLine="646" w:firstLineChars="202"/>
        <w:rPr>
          <w:snapToGrid w:val="0"/>
          <w:color w:val="000000"/>
          <w:kern w:val="32"/>
          <w:szCs w:val="32"/>
        </w:rPr>
      </w:pPr>
      <w:r>
        <w:rPr>
          <w:snapToGrid w:val="0"/>
          <w:color w:val="000000"/>
          <w:kern w:val="32"/>
          <w:szCs w:val="32"/>
        </w:rPr>
        <w:t>大型工程是指施工单项合同估算价在5000万元-10000万元的房屋建筑和市政基础设施总承包工程，单项合同估算价在2000万元-5000万元的装饰装修、安装、钢结构、幕墙工程，单项合同估算价在1000万元-2000万元的智能化、土石方、桩基、基坑支护、园林绿化等专业工程。</w:t>
      </w:r>
    </w:p>
    <w:p w14:paraId="3AD191ED">
      <w:pPr>
        <w:tabs>
          <w:tab w:val="left" w:pos="0"/>
        </w:tabs>
        <w:spacing w:line="560" w:lineRule="exact"/>
        <w:ind w:right="-34" w:firstLine="646" w:firstLineChars="202"/>
        <w:rPr>
          <w:snapToGrid w:val="0"/>
          <w:color w:val="000000"/>
          <w:kern w:val="32"/>
          <w:szCs w:val="32"/>
        </w:rPr>
      </w:pPr>
      <w:r>
        <w:rPr>
          <w:snapToGrid w:val="0"/>
          <w:color w:val="000000"/>
          <w:kern w:val="32"/>
          <w:szCs w:val="32"/>
        </w:rPr>
        <w:t>中型工程是指施工单项合同估算价在1000万元-5000万元的房屋建筑和市政基础设施总承包工程，单项合同估算价在500万元-2000万元的装饰装修、安装、钢结构、幕墙工程，单项合同估算价在300万元-1000万元的智能化、土石方、桩基、基坑支护、园林绿化等专业工程。</w:t>
      </w:r>
    </w:p>
    <w:p w14:paraId="09B20EB9">
      <w:pPr>
        <w:tabs>
          <w:tab w:val="left" w:pos="0"/>
        </w:tabs>
        <w:spacing w:line="560" w:lineRule="exact"/>
        <w:ind w:right="-34" w:firstLine="646" w:firstLineChars="202"/>
        <w:rPr>
          <w:snapToGrid w:val="0"/>
          <w:color w:val="000000"/>
          <w:kern w:val="32"/>
          <w:szCs w:val="32"/>
        </w:rPr>
      </w:pPr>
      <w:r>
        <w:rPr>
          <w:snapToGrid w:val="0"/>
          <w:color w:val="000000"/>
          <w:kern w:val="32"/>
          <w:szCs w:val="32"/>
        </w:rPr>
        <w:t>小型工程是指中型规模以下工程。各省辖市建设行政主管部门可以根据当地实际，对上述规模进行适当调整。</w:t>
      </w:r>
    </w:p>
    <w:p w14:paraId="30B65897">
      <w:pPr>
        <w:tabs>
          <w:tab w:val="left" w:pos="0"/>
        </w:tabs>
        <w:spacing w:line="560" w:lineRule="exact"/>
        <w:ind w:right="-34" w:firstLine="646" w:firstLineChars="202"/>
        <w:rPr>
          <w:snapToGrid w:val="0"/>
          <w:color w:val="000000"/>
          <w:kern w:val="32"/>
          <w:szCs w:val="32"/>
        </w:rPr>
      </w:pPr>
      <w:r>
        <w:rPr>
          <w:snapToGrid w:val="0"/>
          <w:color w:val="000000"/>
          <w:kern w:val="32"/>
          <w:szCs w:val="32"/>
        </w:rPr>
        <w:t>2．技术复杂工程</w:t>
      </w:r>
    </w:p>
    <w:p w14:paraId="453F6ABE">
      <w:pPr>
        <w:tabs>
          <w:tab w:val="left" w:pos="0"/>
        </w:tabs>
        <w:spacing w:line="560" w:lineRule="exact"/>
        <w:ind w:right="-34" w:firstLine="646" w:firstLineChars="202"/>
        <w:rPr>
          <w:snapToGrid w:val="0"/>
          <w:color w:val="000000"/>
          <w:kern w:val="32"/>
          <w:szCs w:val="32"/>
        </w:rPr>
      </w:pPr>
      <w:r>
        <w:rPr>
          <w:snapToGrid w:val="0"/>
          <w:color w:val="000000"/>
          <w:kern w:val="32"/>
          <w:szCs w:val="32"/>
        </w:rPr>
        <w:t>（1）房屋建筑：建筑高度100米以上、单跨跨度39米以上或者单体建筑面积10万平米以上建筑物；75米以上大跨度钢结构工程；高度120 米以上的高耸构筑物；深度或者高度10米以上的深基坑或者边坡支护（局部开挖面积不一致的，超过10米深度的基坑面积须超过基坑总开挖面积的50%以上）工程；按五星及以上标准设计的宾馆；大型仿古建筑（单体面积1000平米以上）；音乐厅、博物馆、体育场馆、影剧院、候机楼、会展中心等大型公共建筑工程；采用装配式等新型技术建设的房屋建筑。</w:t>
      </w:r>
    </w:p>
    <w:p w14:paraId="2F3FF229">
      <w:pPr>
        <w:tabs>
          <w:tab w:val="left" w:pos="0"/>
        </w:tabs>
        <w:spacing w:line="560" w:lineRule="exact"/>
        <w:ind w:right="-34" w:firstLine="646" w:firstLineChars="202"/>
        <w:rPr>
          <w:snapToGrid w:val="0"/>
          <w:color w:val="000000"/>
          <w:kern w:val="32"/>
          <w:szCs w:val="32"/>
        </w:rPr>
      </w:pPr>
      <w:r>
        <w:rPr>
          <w:snapToGrid w:val="0"/>
          <w:color w:val="000000"/>
          <w:kern w:val="32"/>
          <w:szCs w:val="32"/>
        </w:rPr>
        <w:t>（2）市政工程：断面面积超过25平米以上或单洞长度1000米以上的隧道工程、单跨45米以上的城市桥梁</w:t>
      </w:r>
      <w:r>
        <w:rPr>
          <w:rFonts w:hint="default"/>
          <w:snapToGrid w:val="0"/>
          <w:color w:val="000000"/>
          <w:kern w:val="32"/>
          <w:szCs w:val="32"/>
        </w:rPr>
        <w:t>、</w:t>
      </w:r>
      <w:r>
        <w:rPr>
          <w:snapToGrid w:val="0"/>
          <w:color w:val="000000"/>
          <w:kern w:val="32"/>
          <w:szCs w:val="32"/>
        </w:rPr>
        <w:t>直径</w:t>
      </w:r>
      <w:r>
        <w:rPr>
          <w:rFonts w:hint="eastAsia"/>
          <w:snapToGrid w:val="0"/>
          <w:color w:val="000000"/>
          <w:kern w:val="32"/>
          <w:szCs w:val="32"/>
        </w:rPr>
        <w:t>2</w:t>
      </w:r>
      <w:r>
        <w:rPr>
          <w:snapToGrid w:val="0"/>
          <w:color w:val="000000"/>
          <w:kern w:val="32"/>
          <w:szCs w:val="32"/>
        </w:rPr>
        <w:t>米以上的大口径顶管工程、15万吨/日以上污水泵站或雨水泵站、25 万吨/日以上的给水泵站、垃圾处理场、高压或者次高压天然气场站及管线工程、液化天然气（LNG）储罐项目、长距离输水隧洞、综合管廊、深度或者高度10米以上的深基坑或者边坡支护（局部开挖面积不一致的，超过10米深度的基坑面积须超过基坑总开挖面积的50%以上）。</w:t>
      </w:r>
    </w:p>
    <w:p w14:paraId="0211CD4F">
      <w:pPr>
        <w:tabs>
          <w:tab w:val="left" w:pos="0"/>
        </w:tabs>
        <w:spacing w:line="560" w:lineRule="exact"/>
        <w:ind w:right="-34" w:firstLine="646" w:firstLineChars="202"/>
        <w:rPr>
          <w:snapToGrid w:val="0"/>
          <w:color w:val="000000"/>
          <w:kern w:val="32"/>
          <w:szCs w:val="32"/>
        </w:rPr>
      </w:pPr>
      <w:r>
        <w:rPr>
          <w:snapToGrid w:val="0"/>
          <w:color w:val="000000"/>
          <w:kern w:val="32"/>
          <w:szCs w:val="32"/>
        </w:rPr>
        <w:t>（3）轨道交通区间车站主体、轨道铺设、监控信号安装、智能化等有特殊专业要求的工程。</w:t>
      </w:r>
    </w:p>
    <w:p w14:paraId="0C3F4DB4">
      <w:pPr>
        <w:tabs>
          <w:tab w:val="left" w:pos="0"/>
        </w:tabs>
        <w:spacing w:line="560" w:lineRule="exact"/>
        <w:ind w:right="-34" w:firstLine="646" w:firstLineChars="202"/>
        <w:rPr>
          <w:snapToGrid w:val="0"/>
          <w:color w:val="000000"/>
          <w:kern w:val="32"/>
          <w:szCs w:val="32"/>
        </w:rPr>
      </w:pPr>
      <w:r>
        <w:rPr>
          <w:snapToGrid w:val="0"/>
          <w:color w:val="000000"/>
          <w:kern w:val="32"/>
          <w:szCs w:val="32"/>
        </w:rPr>
        <w:t>（4）施工有特殊要求或者采用新技术的各类实验（检验）室工程。</w:t>
      </w:r>
    </w:p>
    <w:p w14:paraId="507C5EBE">
      <w:pPr>
        <w:tabs>
          <w:tab w:val="left" w:pos="0"/>
        </w:tabs>
        <w:spacing w:line="560" w:lineRule="exact"/>
        <w:ind w:right="-34" w:firstLine="646" w:firstLineChars="202"/>
        <w:rPr>
          <w:snapToGrid w:val="0"/>
          <w:color w:val="000000"/>
          <w:kern w:val="32"/>
          <w:szCs w:val="32"/>
        </w:rPr>
      </w:pPr>
      <w:r>
        <w:rPr>
          <w:snapToGrid w:val="0"/>
          <w:color w:val="000000"/>
          <w:kern w:val="32"/>
          <w:szCs w:val="32"/>
        </w:rPr>
        <w:t>（5）其他有特殊专业技术要求的工程。如：采用曲面幕墙、爆破拆除、建筑物平移、金库、大型建筑物的抗震加固工程、大型网架工程等，以及经5名以上专家论证确定的其他有特殊专业技术要求的工程。</w:t>
      </w:r>
    </w:p>
    <w:p w14:paraId="326EAF46">
      <w:pPr>
        <w:tabs>
          <w:tab w:val="left" w:pos="0"/>
        </w:tabs>
        <w:spacing w:line="560" w:lineRule="exact"/>
        <w:ind w:right="-34" w:firstLine="646" w:firstLineChars="202"/>
        <w:rPr>
          <w:snapToGrid w:val="0"/>
          <w:color w:val="000000"/>
          <w:kern w:val="32"/>
          <w:szCs w:val="32"/>
        </w:rPr>
      </w:pPr>
      <w:r>
        <w:rPr>
          <w:snapToGrid w:val="0"/>
          <w:color w:val="000000"/>
          <w:kern w:val="32"/>
          <w:szCs w:val="32"/>
        </w:rPr>
        <w:t>上述“工程分类”、“技术复杂工程”仅用于招投标环节，“技术复杂工程”指标段特征符合上述规定；其表述“以上”均包括本数。</w:t>
      </w:r>
    </w:p>
    <w:p w14:paraId="25530A6F">
      <w:pPr>
        <w:tabs>
          <w:tab w:val="left" w:pos="0"/>
        </w:tabs>
        <w:spacing w:line="560" w:lineRule="exact"/>
        <w:ind w:right="-34" w:firstLine="646" w:firstLineChars="202"/>
        <w:rPr>
          <w:snapToGrid w:val="0"/>
          <w:color w:val="000000"/>
          <w:kern w:val="32"/>
          <w:szCs w:val="32"/>
        </w:rPr>
      </w:pPr>
      <w:r>
        <w:rPr>
          <w:snapToGrid w:val="0"/>
          <w:color w:val="000000"/>
          <w:kern w:val="32"/>
          <w:szCs w:val="32"/>
        </w:rPr>
        <w:t>3．类似工程</w:t>
      </w:r>
    </w:p>
    <w:p w14:paraId="6B7F0792">
      <w:pPr>
        <w:tabs>
          <w:tab w:val="left" w:pos="0"/>
        </w:tabs>
        <w:spacing w:line="560" w:lineRule="exact"/>
        <w:ind w:right="-34" w:firstLine="646" w:firstLineChars="202"/>
        <w:rPr>
          <w:snapToGrid w:val="0"/>
          <w:color w:val="000000"/>
          <w:kern w:val="32"/>
          <w:szCs w:val="32"/>
        </w:rPr>
      </w:pPr>
      <w:r>
        <w:rPr>
          <w:snapToGrid w:val="0"/>
          <w:color w:val="000000"/>
          <w:kern w:val="32"/>
          <w:szCs w:val="32"/>
        </w:rPr>
        <w:t>类似工程是指项目在高度、面积、造价、层次、跨度、结构形式、施工工艺、特殊施工技术等量化指标与招标工程相类似。</w:t>
      </w:r>
    </w:p>
    <w:p w14:paraId="179FC795">
      <w:pPr>
        <w:tabs>
          <w:tab w:val="left" w:pos="0"/>
        </w:tabs>
        <w:spacing w:line="560" w:lineRule="exact"/>
        <w:ind w:right="-34" w:firstLine="646" w:firstLineChars="202"/>
        <w:rPr>
          <w:snapToGrid w:val="0"/>
          <w:color w:val="000000"/>
          <w:kern w:val="32"/>
          <w:szCs w:val="32"/>
        </w:rPr>
      </w:pPr>
      <w:r>
        <w:rPr>
          <w:snapToGrid w:val="0"/>
          <w:color w:val="000000"/>
          <w:kern w:val="32"/>
          <w:szCs w:val="32"/>
        </w:rPr>
        <w:t>设置同类工程业绩应当符合下列规定</w:t>
      </w:r>
      <w:r>
        <w:rPr>
          <w:rFonts w:hint="eastAsia"/>
          <w:snapToGrid w:val="0"/>
          <w:color w:val="000000"/>
          <w:kern w:val="32"/>
          <w:szCs w:val="32"/>
        </w:rPr>
        <w:t>：</w:t>
      </w:r>
    </w:p>
    <w:p w14:paraId="5E0223AA">
      <w:pPr>
        <w:tabs>
          <w:tab w:val="left" w:pos="0"/>
        </w:tabs>
        <w:spacing w:line="560" w:lineRule="exact"/>
        <w:ind w:right="-34" w:firstLine="646" w:firstLineChars="202"/>
        <w:rPr>
          <w:snapToGrid w:val="0"/>
          <w:color w:val="000000"/>
          <w:kern w:val="32"/>
          <w:szCs w:val="32"/>
        </w:rPr>
      </w:pPr>
      <w:r>
        <w:rPr>
          <w:snapToGrid w:val="0"/>
          <w:color w:val="000000"/>
          <w:kern w:val="32"/>
          <w:szCs w:val="32"/>
        </w:rPr>
        <w:t>（1）一般只能设置不超过2个量化指标。工程总承包</w:t>
      </w:r>
      <w:r>
        <w:rPr>
          <w:rFonts w:hint="eastAsia"/>
          <w:snapToGrid w:val="0"/>
          <w:color w:val="000000"/>
          <w:kern w:val="32"/>
          <w:szCs w:val="32"/>
        </w:rPr>
        <w:t>、</w:t>
      </w:r>
      <w:r>
        <w:rPr>
          <w:snapToGrid w:val="0"/>
          <w:color w:val="000000"/>
          <w:kern w:val="32"/>
          <w:szCs w:val="32"/>
        </w:rPr>
        <w:t>施工项目招标中面积、造价量化规模指标</w:t>
      </w:r>
      <w:r>
        <w:rPr>
          <w:rFonts w:hint="eastAsia"/>
          <w:snapToGrid w:val="0"/>
          <w:color w:val="000000"/>
          <w:kern w:val="32"/>
          <w:szCs w:val="32"/>
        </w:rPr>
        <w:t>，</w:t>
      </w:r>
      <w:r>
        <w:rPr>
          <w:snapToGrid w:val="0"/>
          <w:color w:val="000000"/>
          <w:kern w:val="32"/>
          <w:szCs w:val="32"/>
        </w:rPr>
        <w:t>大型及以下工程、技术复杂的特大型工程可以设置不超过招标工程相应指标的80%，特大型工程不超过60%。其他指标的设置不得超过招标工程相应指标。</w:t>
      </w:r>
    </w:p>
    <w:p w14:paraId="50376410">
      <w:pPr>
        <w:tabs>
          <w:tab w:val="left" w:pos="0"/>
        </w:tabs>
        <w:spacing w:line="560" w:lineRule="exact"/>
        <w:ind w:right="-34" w:firstLine="646" w:firstLineChars="202"/>
        <w:rPr>
          <w:snapToGrid w:val="0"/>
          <w:color w:val="000000"/>
          <w:kern w:val="32"/>
          <w:szCs w:val="32"/>
        </w:rPr>
      </w:pPr>
      <w:r>
        <w:rPr>
          <w:snapToGrid w:val="0"/>
          <w:color w:val="000000"/>
          <w:kern w:val="32"/>
          <w:szCs w:val="32"/>
        </w:rPr>
        <w:t>（2）“类似工程”期限一般不得低于3年，以竣工验收时间为准。</w:t>
      </w:r>
    </w:p>
    <w:p w14:paraId="733116E9">
      <w:pPr>
        <w:tabs>
          <w:tab w:val="left" w:pos="0"/>
        </w:tabs>
        <w:spacing w:line="560" w:lineRule="exact"/>
        <w:ind w:right="-34" w:firstLine="646" w:firstLineChars="202"/>
        <w:rPr>
          <w:rFonts w:hint="eastAsia"/>
          <w:snapToGrid w:val="0"/>
          <w:color w:val="000000"/>
          <w:kern w:val="32"/>
          <w:szCs w:val="32"/>
        </w:rPr>
      </w:pPr>
      <w:r>
        <w:rPr>
          <w:snapToGrid w:val="0"/>
          <w:color w:val="000000"/>
          <w:kern w:val="32"/>
          <w:szCs w:val="32"/>
        </w:rPr>
        <w:t>“类似工程”证明材料一般为合同、竣工验收证明及招标工程的中标通知书。招标人应当根据工程项目的具体情况，在招标公告、招标文件中明确相应的量化指标及期限。</w:t>
      </w:r>
    </w:p>
    <w:p w14:paraId="6608F07C">
      <w:pPr>
        <w:numPr>
          <w:ilvl w:val="0"/>
          <w:numId w:val="1"/>
        </w:numPr>
        <w:tabs>
          <w:tab w:val="left" w:pos="0"/>
        </w:tabs>
        <w:spacing w:line="560" w:lineRule="exact"/>
        <w:ind w:right="-34" w:firstLine="646" w:firstLineChars="202"/>
        <w:rPr>
          <w:snapToGrid w:val="0"/>
          <w:color w:val="000000"/>
          <w:kern w:val="32"/>
          <w:szCs w:val="32"/>
        </w:rPr>
      </w:pPr>
      <w:r>
        <w:rPr>
          <w:snapToGrid w:val="0"/>
          <w:color w:val="000000"/>
          <w:kern w:val="32"/>
          <w:szCs w:val="32"/>
        </w:rPr>
        <w:t>奖项</w:t>
      </w:r>
    </w:p>
    <w:p w14:paraId="6F43C574">
      <w:pPr>
        <w:tabs>
          <w:tab w:val="left" w:pos="0"/>
        </w:tabs>
        <w:spacing w:line="560" w:lineRule="exact"/>
        <w:ind w:right="-34" w:firstLine="0" w:firstLineChars="0"/>
        <w:rPr>
          <w:snapToGrid w:val="0"/>
          <w:color w:val="000000"/>
          <w:kern w:val="32"/>
          <w:szCs w:val="32"/>
        </w:rPr>
      </w:pPr>
      <w:r>
        <w:rPr>
          <w:rFonts w:hint="eastAsia"/>
          <w:snapToGrid w:val="0"/>
          <w:color w:val="000000"/>
          <w:kern w:val="32"/>
          <w:szCs w:val="32"/>
        </w:rPr>
        <w:t xml:space="preserve">    获得工程奖项的有效期按照下列规定执行：国优工程3年，省优工程2年，市优工程1年，省级、省辖市级“文明工地”2年，有效期自发证或者发文之日起算起，发证、发文时间不一致的，以发文的时间为准。</w:t>
      </w:r>
    </w:p>
    <w:p w14:paraId="75493D30">
      <w:pPr>
        <w:tabs>
          <w:tab w:val="left" w:pos="0"/>
        </w:tabs>
        <w:spacing w:line="560" w:lineRule="exact"/>
        <w:ind w:right="-34" w:firstLine="646" w:firstLineChars="202"/>
        <w:rPr>
          <w:snapToGrid w:val="0"/>
          <w:color w:val="000000"/>
          <w:kern w:val="32"/>
          <w:szCs w:val="32"/>
        </w:rPr>
      </w:pPr>
      <w:r>
        <w:rPr>
          <w:rFonts w:hint="eastAsia"/>
          <w:snapToGrid w:val="0"/>
          <w:color w:val="000000"/>
          <w:kern w:val="32"/>
          <w:szCs w:val="32"/>
        </w:rPr>
        <w:t>5</w:t>
      </w:r>
      <w:r>
        <w:rPr>
          <w:snapToGrid w:val="0"/>
          <w:color w:val="000000"/>
          <w:kern w:val="32"/>
          <w:szCs w:val="32"/>
        </w:rPr>
        <w:t>．在建工程</w:t>
      </w:r>
    </w:p>
    <w:p w14:paraId="4A076A66">
      <w:pPr>
        <w:tabs>
          <w:tab w:val="left" w:pos="0"/>
        </w:tabs>
        <w:spacing w:line="560" w:lineRule="exact"/>
        <w:ind w:right="-34" w:firstLine="646" w:firstLineChars="202"/>
        <w:rPr>
          <w:snapToGrid w:val="0"/>
          <w:color w:val="000000"/>
          <w:kern w:val="32"/>
          <w:szCs w:val="32"/>
        </w:rPr>
      </w:pPr>
      <w:r>
        <w:rPr>
          <w:snapToGrid w:val="0"/>
          <w:color w:val="000000"/>
          <w:kern w:val="32"/>
          <w:szCs w:val="32"/>
        </w:rPr>
        <w:t>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14:paraId="12A45E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8AD387"/>
    <w:multiLevelType w:val="singleLevel"/>
    <w:tmpl w:val="1D8AD38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861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2024-12-18T08:58:57Z</dcterms:created>
  <dc:creator>Sun</dc:creator>
  <cp:lastModifiedBy>火木</cp:lastModifiedBy>
  <dcterms:modified xsi:type="dcterms:W3CDTF">2024-12-18T09:00:16Z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D36926269375430EAF3B99C0EDBD6ADF_12</vt:lpwstr>
  </property>
</Properties>
</file>