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F2F6">
      <w:pPr>
        <w:tabs>
          <w:tab w:val="left" w:pos="0"/>
        </w:tabs>
        <w:spacing w:line="560" w:lineRule="exact"/>
        <w:rPr>
          <w:rFonts w:hint="default" w:eastAsia="方正黑体_GBK"/>
          <w:snapToGrid w:val="0"/>
          <w:color w:val="000000"/>
          <w:kern w:val="32"/>
          <w:szCs w:val="32"/>
          <w:lang w:val="en-US" w:eastAsia="zh-CN"/>
        </w:rPr>
      </w:pPr>
      <w:r>
        <w:rPr>
          <w:rFonts w:eastAsia="方正黑体_GBK"/>
          <w:snapToGrid w:val="0"/>
          <w:color w:val="000000"/>
          <w:kern w:val="32"/>
          <w:szCs w:val="32"/>
        </w:rPr>
        <w:t>附件</w:t>
      </w:r>
      <w:r>
        <w:rPr>
          <w:rFonts w:hint="eastAsia" w:eastAsia="方正黑体_GBK"/>
          <w:snapToGrid w:val="0"/>
          <w:color w:val="000000"/>
          <w:kern w:val="32"/>
          <w:szCs w:val="32"/>
          <w:lang w:val="en-US" w:eastAsia="zh-CN"/>
        </w:rPr>
        <w:t>15</w:t>
      </w:r>
    </w:p>
    <w:p w14:paraId="5A5F72B1">
      <w:pPr>
        <w:tabs>
          <w:tab w:val="left" w:pos="0"/>
        </w:tabs>
        <w:spacing w:line="560" w:lineRule="exact"/>
        <w:rPr>
          <w:rFonts w:eastAsia="方正黑体_GBK"/>
          <w:snapToGrid w:val="0"/>
          <w:color w:val="000000"/>
          <w:kern w:val="32"/>
          <w:szCs w:val="32"/>
        </w:rPr>
      </w:pPr>
    </w:p>
    <w:p w14:paraId="212DF8F0">
      <w:pPr>
        <w:tabs>
          <w:tab w:val="left" w:pos="0"/>
        </w:tabs>
        <w:spacing w:line="560" w:lineRule="exact"/>
        <w:jc w:val="center"/>
        <w:rPr>
          <w:rFonts w:hint="default" w:ascii="Times New Roman" w:eastAsia="方正小标宋_GBK"/>
          <w:snapToGrid w:val="0"/>
          <w:color w:val="000000"/>
          <w:kern w:val="32"/>
          <w:sz w:val="44"/>
          <w:szCs w:val="44"/>
        </w:rPr>
      </w:pPr>
      <w:r>
        <w:rPr>
          <w:rFonts w:hint="default" w:ascii="Times New Roman" w:eastAsia="方正小标宋_GBK"/>
          <w:snapToGrid w:val="0"/>
          <w:color w:val="000000"/>
          <w:kern w:val="32"/>
          <w:sz w:val="44"/>
          <w:szCs w:val="44"/>
        </w:rPr>
        <w:t>江苏省房屋建筑和市政基础设施工程施工招标评标入围、报价评审和预选招标规则</w:t>
      </w:r>
    </w:p>
    <w:p w14:paraId="6A8B4004">
      <w:pPr>
        <w:tabs>
          <w:tab w:val="left" w:pos="0"/>
        </w:tabs>
        <w:spacing w:line="560" w:lineRule="exact"/>
        <w:jc w:val="center"/>
        <w:rPr>
          <w:snapToGrid w:val="0"/>
          <w:color w:val="000000"/>
          <w:kern w:val="32"/>
          <w:szCs w:val="32"/>
        </w:rPr>
      </w:pPr>
    </w:p>
    <w:p w14:paraId="0A35DABF">
      <w:pPr>
        <w:tabs>
          <w:tab w:val="left" w:pos="0"/>
        </w:tabs>
        <w:spacing w:line="560" w:lineRule="exact"/>
        <w:ind w:firstLine="646" w:firstLineChars="202"/>
        <w:rPr>
          <w:rFonts w:hint="default" w:ascii="Times New Roman" w:eastAsia="方正黑体_GBK"/>
          <w:snapToGrid w:val="0"/>
          <w:color w:val="000000"/>
          <w:kern w:val="32"/>
          <w:szCs w:val="32"/>
        </w:rPr>
      </w:pPr>
      <w:r>
        <w:rPr>
          <w:rFonts w:hint="default" w:ascii="Times New Roman" w:eastAsia="方正黑体_GBK"/>
          <w:snapToGrid w:val="0"/>
          <w:color w:val="000000"/>
          <w:kern w:val="32"/>
          <w:szCs w:val="32"/>
        </w:rPr>
        <w:t>—、评标入围</w:t>
      </w:r>
    </w:p>
    <w:p w14:paraId="16B98213">
      <w:pPr>
        <w:tabs>
          <w:tab w:val="left" w:pos="0"/>
        </w:tabs>
        <w:spacing w:line="560" w:lineRule="exact"/>
        <w:ind w:firstLine="646" w:firstLineChars="202"/>
        <w:rPr>
          <w:snapToGrid w:val="0"/>
          <w:color w:val="000000"/>
          <w:kern w:val="32"/>
          <w:szCs w:val="32"/>
        </w:rPr>
      </w:pPr>
      <w:r>
        <w:rPr>
          <w:snapToGrid w:val="0"/>
          <w:color w:val="000000"/>
          <w:kern w:val="32"/>
          <w:szCs w:val="32"/>
        </w:rPr>
        <w:t>（一）评标入围方法。招标人应根据项目的实际情况，合理确定评标入围环节和入围的投标人数量。符合评标入围条件的投标文件即为进入评标入围环节的投标人，当进入评标入围环节的投标人超过20家时，招标人可以选择一种评标入围方法，也可在招标文件中明确两种以上入围方式，</w:t>
      </w:r>
      <w:r>
        <w:rPr>
          <w:snapToGrid w:val="0"/>
          <w:color w:val="000000"/>
          <w:kern w:val="32"/>
          <w:szCs w:val="32"/>
          <w:highlight w:val="lightGray"/>
        </w:rPr>
        <w:t>开标时采取随机抽取的方式确定。</w:t>
      </w:r>
    </w:p>
    <w:p w14:paraId="70BDFA04">
      <w:pPr>
        <w:tabs>
          <w:tab w:val="left" w:pos="0"/>
        </w:tabs>
        <w:spacing w:line="560" w:lineRule="exact"/>
        <w:ind w:firstLine="646" w:firstLineChars="202"/>
        <w:rPr>
          <w:snapToGrid w:val="0"/>
          <w:color w:val="000000"/>
          <w:kern w:val="32"/>
          <w:szCs w:val="32"/>
        </w:rPr>
      </w:pPr>
      <w:r>
        <w:rPr>
          <w:snapToGrid w:val="0"/>
          <w:color w:val="000000"/>
          <w:kern w:val="32"/>
          <w:szCs w:val="32"/>
        </w:rPr>
        <w:t>方法一：全部入围。</w:t>
      </w:r>
    </w:p>
    <w:p w14:paraId="23D12459">
      <w:pPr>
        <w:tabs>
          <w:tab w:val="left" w:pos="0"/>
        </w:tabs>
        <w:spacing w:line="560" w:lineRule="exact"/>
        <w:ind w:firstLine="646" w:firstLineChars="202"/>
        <w:rPr>
          <w:snapToGrid w:val="0"/>
          <w:color w:val="000000"/>
          <w:kern w:val="32"/>
          <w:szCs w:val="32"/>
        </w:rPr>
      </w:pPr>
      <w:r>
        <w:rPr>
          <w:snapToGrid w:val="0"/>
          <w:color w:val="000000"/>
          <w:kern w:val="32"/>
          <w:szCs w:val="32"/>
        </w:rPr>
        <w:t>进入评标入围环节的投标人全部进入后续评标程序。</w:t>
      </w:r>
    </w:p>
    <w:p w14:paraId="2E610D17">
      <w:pPr>
        <w:tabs>
          <w:tab w:val="left" w:pos="0"/>
        </w:tabs>
        <w:spacing w:line="560" w:lineRule="exact"/>
        <w:ind w:firstLine="646" w:firstLineChars="202"/>
        <w:rPr>
          <w:snapToGrid w:val="0"/>
          <w:color w:val="000000"/>
          <w:kern w:val="32"/>
          <w:szCs w:val="32"/>
        </w:rPr>
      </w:pPr>
      <w:r>
        <w:rPr>
          <w:snapToGrid w:val="0"/>
          <w:color w:val="000000"/>
          <w:kern w:val="32"/>
          <w:szCs w:val="32"/>
        </w:rPr>
        <w:t>方法二：低价排序法。先按报价由低到高去除进入评标入围环节的投标人数量×G1（G1值为10%、15%、20%、25%、30%） 最低报价的投标人和由高到低去除进入评标入围环节的投标人数量×G2（G2值为10%、15%、20%）最高投标报价的投标人（去高、去低的数量分别四舍五入后取整，末位报价相同的均去除），G1和G2在开标时抽取；再按报价由低到高取不少于R家（R—般不少于15家， 具体数量在招标文件中明确）投标人进入后续评标程序。排序第R位存在两个及以上报价并列相同的，同时入围；不足R家时，按实际数量计取。</w:t>
      </w:r>
    </w:p>
    <w:p w14:paraId="56202FDC">
      <w:pPr>
        <w:tabs>
          <w:tab w:val="left" w:pos="0"/>
        </w:tabs>
        <w:spacing w:line="560" w:lineRule="exact"/>
        <w:ind w:firstLine="646" w:firstLineChars="202"/>
        <w:rPr>
          <w:snapToGrid w:val="0"/>
          <w:color w:val="000000"/>
          <w:kern w:val="32"/>
          <w:szCs w:val="32"/>
        </w:rPr>
      </w:pPr>
      <w:r>
        <w:rPr>
          <w:snapToGrid w:val="0"/>
          <w:color w:val="000000"/>
          <w:kern w:val="32"/>
          <w:szCs w:val="32"/>
        </w:rPr>
        <w:t>方法三：均值入围法。先按报价由低到高去除进入评标入围环节的投标人数量×G1（G1值为10%、15%、20%）最低报价的投标人和由高到低去除进入评标入围环节的投标人数量×G2（G2值为 10%、15%、20%、25%、30%）最高投标报价的投标人（去高、去低的数量分别四舍五入后取整，末位报价相同的均去除），G1和G2在开标时抽取；计算剩余投标人的报价平均值，取平均值以上和以下若干家投标人进入后续评标程序。</w:t>
      </w:r>
    </w:p>
    <w:p w14:paraId="1C6A1627">
      <w:pPr>
        <w:tabs>
          <w:tab w:val="left" w:pos="0"/>
        </w:tabs>
        <w:spacing w:line="560" w:lineRule="exact"/>
        <w:ind w:firstLine="646" w:firstLineChars="202"/>
        <w:rPr>
          <w:snapToGrid w:val="0"/>
          <w:color w:val="000000"/>
          <w:kern w:val="32"/>
          <w:szCs w:val="32"/>
        </w:rPr>
      </w:pPr>
      <w:r>
        <w:rPr>
          <w:snapToGrid w:val="0"/>
          <w:color w:val="000000"/>
          <w:kern w:val="32"/>
          <w:szCs w:val="32"/>
        </w:rPr>
        <w:t>招标文件中应明确取平均值以上的具体数量和以下的具体数量， 平均值以下投标人应多于取平均值以上的投标人，合计数量不少于R 家（R—般不少于15家，具体数量在招标文件中明确，不足R家时，按实际数量计取）。评标入围过程中，当投标人平均值以上（或以下）的数量不足时按实际数量计取，但不因此增加平均值以下（或以上）的数量。按顺序取平均值以上的投标人时，末位报价相同的投标人均不入围；按顺序取平均值以下的投标人时，报价相同的投标人同时入围。</w:t>
      </w:r>
    </w:p>
    <w:p w14:paraId="205219D5">
      <w:pPr>
        <w:tabs>
          <w:tab w:val="left" w:pos="0"/>
        </w:tabs>
        <w:spacing w:line="560" w:lineRule="exact"/>
        <w:ind w:firstLine="646" w:firstLineChars="202"/>
        <w:rPr>
          <w:rFonts w:hint="default" w:ascii="Times New Roman" w:eastAsia="方正黑体_GBK"/>
          <w:snapToGrid w:val="0"/>
          <w:color w:val="000000"/>
          <w:kern w:val="32"/>
          <w:szCs w:val="32"/>
        </w:rPr>
      </w:pPr>
      <w:r>
        <w:rPr>
          <w:rFonts w:hint="default" w:ascii="Times New Roman" w:eastAsia="方正黑体_GBK"/>
          <w:snapToGrid w:val="0"/>
          <w:color w:val="000000"/>
          <w:kern w:val="32"/>
          <w:szCs w:val="32"/>
        </w:rPr>
        <w:t>二、投标报价评审</w:t>
      </w:r>
    </w:p>
    <w:p w14:paraId="6315E4A6">
      <w:pPr>
        <w:tabs>
          <w:tab w:val="left" w:pos="0"/>
        </w:tabs>
        <w:spacing w:line="560" w:lineRule="exact"/>
        <w:ind w:firstLine="646" w:firstLineChars="202"/>
        <w:rPr>
          <w:snapToGrid w:val="0"/>
          <w:color w:val="000000"/>
          <w:kern w:val="32"/>
          <w:szCs w:val="32"/>
        </w:rPr>
      </w:pPr>
      <w:r>
        <w:rPr>
          <w:snapToGrid w:val="0"/>
          <w:color w:val="000000"/>
          <w:kern w:val="32"/>
          <w:szCs w:val="32"/>
        </w:rPr>
        <w:t>（一）采用综合评估法，合理低价法时，报价评审方法如下</w:t>
      </w:r>
    </w:p>
    <w:p w14:paraId="29912365">
      <w:pPr>
        <w:tabs>
          <w:tab w:val="left" w:pos="0"/>
        </w:tabs>
        <w:spacing w:line="560" w:lineRule="exact"/>
        <w:ind w:firstLine="646" w:firstLineChars="202"/>
        <w:rPr>
          <w:snapToGrid w:val="0"/>
          <w:color w:val="000000"/>
          <w:kern w:val="32"/>
          <w:szCs w:val="32"/>
        </w:rPr>
      </w:pPr>
      <w:r>
        <w:rPr>
          <w:snapToGrid w:val="0"/>
          <w:color w:val="000000"/>
          <w:kern w:val="32"/>
          <w:szCs w:val="32"/>
        </w:rPr>
        <w:t>1．评标基准价的计算</w:t>
      </w:r>
    </w:p>
    <w:p w14:paraId="61444143">
      <w:pPr>
        <w:tabs>
          <w:tab w:val="left" w:pos="0"/>
        </w:tabs>
        <w:spacing w:line="560" w:lineRule="exact"/>
        <w:ind w:firstLine="646" w:firstLineChars="202"/>
        <w:rPr>
          <w:snapToGrid w:val="0"/>
          <w:color w:val="000000"/>
          <w:kern w:val="32"/>
          <w:szCs w:val="32"/>
        </w:rPr>
      </w:pPr>
      <w:r>
        <w:rPr>
          <w:snapToGrid w:val="0"/>
          <w:color w:val="000000"/>
          <w:kern w:val="32"/>
          <w:szCs w:val="32"/>
        </w:rPr>
        <w:t>招标人可以选择方法五（ABC合成法）作为基准价的计算方法， 也可以在方法一至方法四中任选不少于两种计算方法在开标时随机抽取确定。</w:t>
      </w:r>
    </w:p>
    <w:p w14:paraId="26B6BAA8">
      <w:pPr>
        <w:tabs>
          <w:tab w:val="left" w:pos="0"/>
        </w:tabs>
        <w:spacing w:line="560" w:lineRule="exact"/>
        <w:ind w:firstLine="646" w:firstLineChars="202"/>
        <w:rPr>
          <w:snapToGrid w:val="0"/>
          <w:color w:val="000000"/>
          <w:kern w:val="32"/>
          <w:szCs w:val="32"/>
        </w:rPr>
      </w:pPr>
      <w:r>
        <w:rPr>
          <w:snapToGrid w:val="0"/>
          <w:color w:val="000000"/>
          <w:kern w:val="32"/>
          <w:szCs w:val="32"/>
        </w:rPr>
        <w:t>方法一：以有效投标文件（有效投标文件是指初步评审合格的投标文件，下同）的评标价（评标价是指经澄清、补正和修正算术计算错误的投标报价，下同）算术平均值为A〔当有效投标文件</w:t>
      </w:r>
      <w:r>
        <w:rPr>
          <w:rFonts w:ascii="宋体" w:eastAsia="宋体"/>
          <w:snapToGrid w:val="0"/>
          <w:color w:val="000000"/>
          <w:kern w:val="32"/>
          <w:szCs w:val="32"/>
        </w:rPr>
        <w:t>≧</w:t>
      </w:r>
      <w:r>
        <w:rPr>
          <w:snapToGrid w:val="0"/>
          <w:color w:val="000000"/>
          <w:kern w:val="32"/>
          <w:szCs w:val="32"/>
        </w:rPr>
        <w:t>7家时， 去掉最高和最低20%（四舍五入取整，末位投标报价相同的均保留） 后进行平均；当有效投标文件4-6家时，剔除最高报价（最高报价相同的均剔除）后进行算术平均；当有效投标文件＜4家时，则次低报价作为投标平均价A）。</w:t>
      </w:r>
    </w:p>
    <w:p w14:paraId="5B042E07">
      <w:pPr>
        <w:tabs>
          <w:tab w:val="left" w:pos="0"/>
        </w:tabs>
        <w:spacing w:line="560" w:lineRule="exact"/>
        <w:ind w:firstLine="646" w:firstLineChars="202"/>
        <w:rPr>
          <w:snapToGrid w:val="0"/>
          <w:color w:val="000000"/>
          <w:kern w:val="32"/>
          <w:szCs w:val="32"/>
        </w:rPr>
      </w:pPr>
      <w:r>
        <w:rPr>
          <w:snapToGrid w:val="0"/>
          <w:color w:val="000000"/>
          <w:kern w:val="32"/>
          <w:szCs w:val="32"/>
        </w:rPr>
        <w:t>评标基准价=A×K，K值在开标时由投标人推选的代表随机抽取确定，K值的取值范围为95%-98%。</w:t>
      </w:r>
    </w:p>
    <w:p w14:paraId="0CF24304">
      <w:pPr>
        <w:tabs>
          <w:tab w:val="left" w:pos="0"/>
        </w:tabs>
        <w:spacing w:line="560" w:lineRule="exact"/>
        <w:ind w:firstLine="646" w:firstLineChars="202"/>
        <w:rPr>
          <w:snapToGrid w:val="0"/>
          <w:color w:val="000000"/>
          <w:kern w:val="32"/>
          <w:szCs w:val="32"/>
        </w:rPr>
      </w:pPr>
      <w:r>
        <w:rPr>
          <w:snapToGrid w:val="0"/>
          <w:color w:val="000000"/>
          <w:kern w:val="32"/>
          <w:szCs w:val="32"/>
        </w:rPr>
        <w:t>方法二：以有效投标文件的评标价算术平均值为A〔当有效投标文件</w:t>
      </w:r>
      <w:r>
        <w:rPr>
          <w:rFonts w:ascii="宋体" w:eastAsia="宋体"/>
          <w:snapToGrid w:val="0"/>
          <w:color w:val="000000"/>
          <w:kern w:val="32"/>
          <w:szCs w:val="32"/>
        </w:rPr>
        <w:t>≧</w:t>
      </w:r>
      <w:r>
        <w:rPr>
          <w:snapToGrid w:val="0"/>
          <w:color w:val="000000"/>
          <w:kern w:val="32"/>
          <w:szCs w:val="32"/>
        </w:rPr>
        <w:t>7家时，去掉最高和最低20% （四舍五入取整）后进行平均；当有效投标文件4-6家时，剔除最高报价（最高报价相同的均剔除）后进行算术平均；当有效投标文件＜4家时，则次低报价作为投标平均价A），招标控制价为B，则：</w:t>
      </w:r>
    </w:p>
    <w:p w14:paraId="67C025B6">
      <w:pPr>
        <w:tabs>
          <w:tab w:val="left" w:pos="0"/>
        </w:tabs>
        <w:spacing w:line="560" w:lineRule="exact"/>
        <w:ind w:firstLine="646" w:firstLineChars="202"/>
        <w:rPr>
          <w:snapToGrid w:val="0"/>
          <w:color w:val="000000"/>
          <w:kern w:val="32"/>
          <w:szCs w:val="32"/>
        </w:rPr>
      </w:pPr>
      <w:r>
        <w:rPr>
          <w:snapToGrid w:val="0"/>
          <w:color w:val="000000"/>
          <w:kern w:val="32"/>
          <w:szCs w:val="32"/>
        </w:rPr>
        <w:t>评标基准价=A×K1×Q1+B×K2×Q2</w:t>
      </w:r>
    </w:p>
    <w:p w14:paraId="7C5A2012">
      <w:pPr>
        <w:tabs>
          <w:tab w:val="left" w:pos="0"/>
        </w:tabs>
        <w:spacing w:line="560" w:lineRule="exact"/>
        <w:ind w:firstLine="646" w:firstLineChars="202"/>
        <w:rPr>
          <w:snapToGrid w:val="0"/>
          <w:color w:val="000000"/>
          <w:kern w:val="32"/>
          <w:szCs w:val="32"/>
        </w:rPr>
      </w:pPr>
      <w:r>
        <w:rPr>
          <w:snapToGrid w:val="0"/>
          <w:color w:val="000000"/>
          <w:kern w:val="32"/>
          <w:szCs w:val="32"/>
        </w:rPr>
        <w:t>Q2=1-Q1, Q1取值范围为65%</w:t>
      </w:r>
      <w:r>
        <w:rPr>
          <w:rFonts w:eastAsia="MS Mincho"/>
          <w:snapToGrid w:val="0"/>
          <w:color w:val="000000"/>
          <w:kern w:val="32"/>
          <w:szCs w:val="32"/>
        </w:rPr>
        <w:t>〜</w:t>
      </w:r>
      <w:r>
        <w:rPr>
          <w:snapToGrid w:val="0"/>
          <w:color w:val="000000"/>
          <w:kern w:val="32"/>
          <w:szCs w:val="32"/>
        </w:rPr>
        <w:t>85%；K1的取值范围为95%</w:t>
      </w:r>
      <w:r>
        <w:rPr>
          <w:rFonts w:eastAsia="MS Mincho"/>
          <w:snapToGrid w:val="0"/>
          <w:color w:val="000000"/>
          <w:kern w:val="32"/>
          <w:szCs w:val="32"/>
        </w:rPr>
        <w:t>〜</w:t>
      </w:r>
      <w:r>
        <w:rPr>
          <w:snapToGrid w:val="0"/>
          <w:color w:val="000000"/>
          <w:kern w:val="32"/>
          <w:szCs w:val="32"/>
        </w:rPr>
        <w:t>98%；Q1、K1值在开标时由投标人推选的代表随机抽取确定。K2的取值范围，建筑工程为90%</w:t>
      </w:r>
      <w:r>
        <w:rPr>
          <w:rFonts w:eastAsia="MS Mincho"/>
          <w:snapToGrid w:val="0"/>
          <w:color w:val="000000"/>
          <w:kern w:val="32"/>
          <w:szCs w:val="32"/>
        </w:rPr>
        <w:t>〜</w:t>
      </w:r>
      <w:r>
        <w:rPr>
          <w:snapToGrid w:val="0"/>
          <w:color w:val="000000"/>
          <w:kern w:val="32"/>
          <w:szCs w:val="32"/>
        </w:rPr>
        <w:t>100%，装饰、安装为88%</w:t>
      </w:r>
      <w:r>
        <w:rPr>
          <w:rFonts w:eastAsia="MS Mincho"/>
          <w:snapToGrid w:val="0"/>
          <w:color w:val="000000"/>
          <w:kern w:val="32"/>
          <w:szCs w:val="32"/>
        </w:rPr>
        <w:t>〜</w:t>
      </w:r>
      <w:r>
        <w:rPr>
          <w:snapToGrid w:val="0"/>
          <w:color w:val="000000"/>
          <w:kern w:val="32"/>
          <w:szCs w:val="32"/>
        </w:rPr>
        <w:t>100%，市政工程为 86%</w:t>
      </w:r>
      <w:r>
        <w:rPr>
          <w:rFonts w:eastAsia="MS Mincho"/>
          <w:snapToGrid w:val="0"/>
          <w:color w:val="000000"/>
          <w:kern w:val="32"/>
          <w:szCs w:val="32"/>
        </w:rPr>
        <w:t>〜</w:t>
      </w:r>
      <w:r>
        <w:rPr>
          <w:snapToGrid w:val="0"/>
          <w:color w:val="000000"/>
          <w:kern w:val="32"/>
          <w:szCs w:val="32"/>
        </w:rPr>
        <w:t>100%，园林绿化工程为84%</w:t>
      </w:r>
      <w:r>
        <w:rPr>
          <w:rFonts w:eastAsia="MS Mincho"/>
          <w:snapToGrid w:val="0"/>
          <w:color w:val="000000"/>
          <w:kern w:val="32"/>
          <w:szCs w:val="32"/>
        </w:rPr>
        <w:t>〜</w:t>
      </w:r>
      <w:r>
        <w:rPr>
          <w:snapToGrid w:val="0"/>
          <w:color w:val="000000"/>
          <w:kern w:val="32"/>
          <w:szCs w:val="32"/>
        </w:rPr>
        <w:t>100%，其他工程88%</w:t>
      </w:r>
      <w:r>
        <w:rPr>
          <w:rFonts w:eastAsia="MS Mincho"/>
          <w:snapToGrid w:val="0"/>
          <w:color w:val="000000"/>
          <w:kern w:val="32"/>
          <w:szCs w:val="32"/>
        </w:rPr>
        <w:t>〜</w:t>
      </w:r>
      <w:r>
        <w:rPr>
          <w:snapToGrid w:val="0"/>
          <w:color w:val="000000"/>
          <w:kern w:val="32"/>
          <w:szCs w:val="32"/>
        </w:rPr>
        <w:t>100%。K2 由招标人在招标文件中明确。</w:t>
      </w:r>
    </w:p>
    <w:p w14:paraId="3199C3D9">
      <w:pPr>
        <w:tabs>
          <w:tab w:val="left" w:pos="0"/>
        </w:tabs>
        <w:spacing w:line="560" w:lineRule="exact"/>
        <w:ind w:firstLine="646" w:firstLineChars="202"/>
        <w:rPr>
          <w:snapToGrid w:val="0"/>
          <w:color w:val="000000"/>
          <w:kern w:val="32"/>
          <w:szCs w:val="32"/>
        </w:rPr>
      </w:pPr>
      <w:r>
        <w:rPr>
          <w:snapToGrid w:val="0"/>
          <w:color w:val="000000"/>
          <w:kern w:val="32"/>
          <w:szCs w:val="32"/>
        </w:rPr>
        <w:t>方法三：以有效投标文件的次低评标价为评标基准价。</w:t>
      </w:r>
    </w:p>
    <w:p w14:paraId="44B63FA2">
      <w:pPr>
        <w:tabs>
          <w:tab w:val="left" w:pos="0"/>
        </w:tabs>
        <w:spacing w:line="560" w:lineRule="exact"/>
        <w:ind w:firstLine="646" w:firstLineChars="202"/>
        <w:rPr>
          <w:snapToGrid w:val="0"/>
          <w:color w:val="000000"/>
          <w:kern w:val="32"/>
          <w:szCs w:val="32"/>
        </w:rPr>
      </w:pPr>
      <w:r>
        <w:rPr>
          <w:snapToGrid w:val="0"/>
          <w:color w:val="000000"/>
          <w:kern w:val="32"/>
          <w:szCs w:val="32"/>
        </w:rPr>
        <w:t>方法四：以合理最低价作为评标基准价。</w:t>
      </w:r>
    </w:p>
    <w:p w14:paraId="4C66182A">
      <w:pPr>
        <w:tabs>
          <w:tab w:val="left" w:pos="0"/>
        </w:tabs>
        <w:spacing w:line="560" w:lineRule="exact"/>
        <w:ind w:firstLine="646" w:firstLineChars="202"/>
        <w:rPr>
          <w:snapToGrid w:val="0"/>
          <w:color w:val="000000"/>
          <w:kern w:val="32"/>
          <w:szCs w:val="32"/>
        </w:rPr>
      </w:pPr>
      <w:r>
        <w:rPr>
          <w:snapToGrid w:val="0"/>
          <w:color w:val="000000"/>
          <w:kern w:val="32"/>
          <w:szCs w:val="32"/>
        </w:rPr>
        <w:t>对有效投标文件工程量清单中的分部分项工程项目清单综合单价子目（指单价）、单价措施项目清单综合单价子目（指单价）、总价措施项目清单费用（指总费用）、其他项目清单费用（指总费用）等所有报价由低到高分别依次排序。</w:t>
      </w:r>
    </w:p>
    <w:p w14:paraId="5AED5B63">
      <w:pPr>
        <w:tabs>
          <w:tab w:val="left" w:pos="0"/>
        </w:tabs>
        <w:spacing w:line="560" w:lineRule="exact"/>
        <w:ind w:firstLine="646" w:firstLineChars="202"/>
        <w:rPr>
          <w:snapToGrid w:val="0"/>
          <w:color w:val="000000"/>
          <w:kern w:val="32"/>
          <w:szCs w:val="32"/>
        </w:rPr>
      </w:pPr>
      <w:r>
        <w:rPr>
          <w:snapToGrid w:val="0"/>
          <w:color w:val="000000"/>
          <w:kern w:val="32"/>
          <w:szCs w:val="32"/>
        </w:rPr>
        <w:t>当有效投标文件</w:t>
      </w:r>
      <w:r>
        <w:rPr>
          <w:rFonts w:ascii="宋体" w:eastAsia="宋体"/>
          <w:snapToGrid w:val="0"/>
          <w:color w:val="000000"/>
          <w:kern w:val="32"/>
          <w:szCs w:val="32"/>
        </w:rPr>
        <w:t>≧</w:t>
      </w:r>
      <w:r>
        <w:rPr>
          <w:snapToGrid w:val="0"/>
          <w:color w:val="000000"/>
          <w:kern w:val="32"/>
          <w:szCs w:val="32"/>
        </w:rPr>
        <w:t>7家时，先剔除各报价中最高的20%项（四舍五入取整，投标报价相同的均保留）和最低的20%项（四舍五入取整，投标报价相同的均保留）后进行算术平均；当有效投标文件4-6家时， 剔除各报价中最高值（最高值相同的均剔除）后进行算术平均；当有效投标文件＜4家时，取各报价中的次低值。将上述计算结果按计价规范，分别计算生成分部分项工程费、措施项目费和其他项目费，再按招标清单所列费率计算规费、税金，得出总价A。</w:t>
      </w:r>
    </w:p>
    <w:p w14:paraId="582A423A">
      <w:pPr>
        <w:tabs>
          <w:tab w:val="left" w:pos="0"/>
        </w:tabs>
        <w:spacing w:line="560" w:lineRule="exact"/>
        <w:ind w:firstLine="646" w:firstLineChars="202"/>
        <w:rPr>
          <w:snapToGrid w:val="0"/>
          <w:color w:val="000000"/>
          <w:kern w:val="32"/>
          <w:szCs w:val="32"/>
        </w:rPr>
      </w:pPr>
      <w:r>
        <w:rPr>
          <w:snapToGrid w:val="0"/>
          <w:color w:val="000000"/>
          <w:kern w:val="32"/>
          <w:szCs w:val="32"/>
        </w:rPr>
        <w:t>评标基准价（合理最低价）=A×K</w:t>
      </w:r>
    </w:p>
    <w:p w14:paraId="262B6A00">
      <w:pPr>
        <w:tabs>
          <w:tab w:val="left" w:pos="0"/>
        </w:tabs>
        <w:spacing w:line="560" w:lineRule="exact"/>
        <w:ind w:firstLine="646" w:firstLineChars="202"/>
        <w:rPr>
          <w:snapToGrid w:val="0"/>
          <w:color w:val="000000"/>
          <w:kern w:val="32"/>
          <w:szCs w:val="32"/>
        </w:rPr>
      </w:pPr>
      <w:r>
        <w:rPr>
          <w:snapToGrid w:val="0"/>
          <w:color w:val="000000"/>
          <w:kern w:val="32"/>
          <w:szCs w:val="32"/>
        </w:rPr>
        <w:t>K值建筑工程为97%</w:t>
      </w:r>
      <w:r>
        <w:rPr>
          <w:rFonts w:eastAsia="MS Mincho"/>
          <w:snapToGrid w:val="0"/>
          <w:color w:val="000000"/>
          <w:kern w:val="32"/>
          <w:szCs w:val="32"/>
        </w:rPr>
        <w:t>〜</w:t>
      </w:r>
      <w:r>
        <w:rPr>
          <w:snapToGrid w:val="0"/>
          <w:color w:val="000000"/>
          <w:kern w:val="32"/>
          <w:szCs w:val="32"/>
        </w:rPr>
        <w:t>93%，装修、安装工程下浮范围为95%</w:t>
      </w:r>
      <w:r>
        <w:rPr>
          <w:rFonts w:eastAsia="MS Mincho"/>
          <w:snapToGrid w:val="0"/>
          <w:color w:val="000000"/>
          <w:kern w:val="32"/>
          <w:szCs w:val="32"/>
        </w:rPr>
        <w:t>〜</w:t>
      </w:r>
      <w:r>
        <w:rPr>
          <w:snapToGrid w:val="0"/>
          <w:color w:val="000000"/>
          <w:kern w:val="32"/>
          <w:szCs w:val="32"/>
        </w:rPr>
        <w:t>90%， 市政工程下浮范围为93%</w:t>
      </w:r>
      <w:r>
        <w:rPr>
          <w:rFonts w:eastAsia="MS Mincho"/>
          <w:snapToGrid w:val="0"/>
          <w:color w:val="000000"/>
          <w:kern w:val="32"/>
          <w:szCs w:val="32"/>
        </w:rPr>
        <w:t>〜</w:t>
      </w:r>
      <w:r>
        <w:rPr>
          <w:snapToGrid w:val="0"/>
          <w:color w:val="000000"/>
          <w:kern w:val="32"/>
          <w:szCs w:val="32"/>
        </w:rPr>
        <w:t>88%，园林绿化工程下浮范围为92%</w:t>
      </w:r>
      <w:r>
        <w:rPr>
          <w:rFonts w:eastAsia="MS Mincho"/>
          <w:snapToGrid w:val="0"/>
          <w:color w:val="000000"/>
          <w:kern w:val="32"/>
          <w:szCs w:val="32"/>
        </w:rPr>
        <w:t>〜</w:t>
      </w:r>
      <w:r>
        <w:rPr>
          <w:snapToGrid w:val="0"/>
          <w:color w:val="000000"/>
          <w:kern w:val="32"/>
          <w:szCs w:val="32"/>
        </w:rPr>
        <w:t>85%， 其他工程下浮范围为95%</w:t>
      </w:r>
      <w:r>
        <w:rPr>
          <w:rFonts w:eastAsia="MS Mincho"/>
          <w:snapToGrid w:val="0"/>
          <w:color w:val="000000"/>
          <w:kern w:val="32"/>
          <w:szCs w:val="32"/>
        </w:rPr>
        <w:t>〜</w:t>
      </w:r>
      <w:r>
        <w:rPr>
          <w:snapToGrid w:val="0"/>
          <w:color w:val="000000"/>
          <w:kern w:val="32"/>
          <w:szCs w:val="32"/>
        </w:rPr>
        <w:t>90%，各地可根据情况适时对下浮范围进行调整。招标人需在招标文件中明确具体下浮区间。项目具体下浮率根据招标文件规定的下浮区间在开标时抽取，或者在招标文件中明确确定固定下浮率（下浮率取整）。</w:t>
      </w:r>
    </w:p>
    <w:p w14:paraId="312AB50A">
      <w:pPr>
        <w:tabs>
          <w:tab w:val="left" w:pos="0"/>
        </w:tabs>
        <w:spacing w:line="560" w:lineRule="exact"/>
        <w:ind w:firstLine="646" w:firstLineChars="202"/>
        <w:rPr>
          <w:snapToGrid w:val="0"/>
          <w:color w:val="000000"/>
          <w:kern w:val="32"/>
          <w:szCs w:val="32"/>
        </w:rPr>
      </w:pPr>
      <w:r>
        <w:rPr>
          <w:snapToGrid w:val="0"/>
          <w:color w:val="000000"/>
          <w:kern w:val="32"/>
          <w:szCs w:val="32"/>
        </w:rPr>
        <w:t>方法五：ABC合成法。</w:t>
      </w:r>
    </w:p>
    <w:p w14:paraId="748265BE">
      <w:pPr>
        <w:tabs>
          <w:tab w:val="left" w:pos="0"/>
        </w:tabs>
        <w:spacing w:line="560" w:lineRule="exact"/>
        <w:ind w:firstLine="646" w:firstLineChars="202"/>
        <w:rPr>
          <w:snapToGrid w:val="0"/>
          <w:color w:val="000000"/>
          <w:kern w:val="32"/>
          <w:szCs w:val="32"/>
        </w:rPr>
      </w:pPr>
      <w:r>
        <w:rPr>
          <w:snapToGrid w:val="0"/>
          <w:color w:val="000000"/>
          <w:kern w:val="32"/>
          <w:szCs w:val="32"/>
        </w:rPr>
        <w:t>评标基准价=（A×50%+B×30%+C×20%）×K</w:t>
      </w:r>
    </w:p>
    <w:p w14:paraId="173B71F3">
      <w:pPr>
        <w:tabs>
          <w:tab w:val="left" w:pos="0"/>
        </w:tabs>
        <w:spacing w:line="560" w:lineRule="exact"/>
        <w:ind w:firstLine="646" w:firstLineChars="202"/>
        <w:rPr>
          <w:snapToGrid w:val="0"/>
          <w:color w:val="000000"/>
          <w:kern w:val="32"/>
          <w:szCs w:val="32"/>
        </w:rPr>
      </w:pPr>
      <w:r>
        <w:rPr>
          <w:snapToGrid w:val="0"/>
          <w:color w:val="000000"/>
          <w:kern w:val="32"/>
          <w:szCs w:val="32"/>
        </w:rPr>
        <w:t>A=招标控制价×（100% —下浮率Δ）：</w:t>
      </w:r>
    </w:p>
    <w:p w14:paraId="7B358ACB">
      <w:pPr>
        <w:tabs>
          <w:tab w:val="left" w:pos="0"/>
        </w:tabs>
        <w:spacing w:line="560" w:lineRule="exact"/>
        <w:ind w:firstLine="646" w:firstLineChars="202"/>
        <w:rPr>
          <w:snapToGrid w:val="0"/>
          <w:color w:val="000000"/>
          <w:kern w:val="32"/>
          <w:szCs w:val="32"/>
        </w:rPr>
      </w:pPr>
      <w:r>
        <w:rPr>
          <w:snapToGrid w:val="0"/>
          <w:color w:val="000000"/>
          <w:kern w:val="32"/>
          <w:szCs w:val="32"/>
        </w:rPr>
        <w:t>B=在规定范围内的评标价除C值外的任意一个评标价，在开标时随机抽取确定；抽取方式：若评标价在A值的95%（及以上）范围内， 则该类评标价不纳入B值抽取范围；若在A值的95%-92% （含）、 92%-89% （含）范围内，则在两个区间内各抽取一个评标价，与在A值的89%以下至规定范围内的其他评标价合并后作为B值抽取范围。若按上述办法未能抽取B值，则在规定范围内的任意一个评标价（除C值外）中随机抽取B值；</w:t>
      </w:r>
    </w:p>
    <w:p w14:paraId="29D42CC7">
      <w:pPr>
        <w:tabs>
          <w:tab w:val="left" w:pos="0"/>
        </w:tabs>
        <w:spacing w:line="560" w:lineRule="exact"/>
        <w:ind w:firstLine="646" w:firstLineChars="202"/>
        <w:rPr>
          <w:snapToGrid w:val="0"/>
          <w:color w:val="000000"/>
          <w:kern w:val="32"/>
          <w:szCs w:val="32"/>
        </w:rPr>
      </w:pPr>
      <w:r>
        <w:rPr>
          <w:snapToGrid w:val="0"/>
          <w:color w:val="000000"/>
          <w:kern w:val="32"/>
          <w:szCs w:val="32"/>
        </w:rPr>
        <w:t>C=在规定范围内的最低评标价；</w:t>
      </w:r>
    </w:p>
    <w:p w14:paraId="5853460A">
      <w:pPr>
        <w:tabs>
          <w:tab w:val="left" w:pos="0"/>
        </w:tabs>
        <w:spacing w:line="560" w:lineRule="exact"/>
        <w:ind w:firstLine="646" w:firstLineChars="202"/>
        <w:rPr>
          <w:snapToGrid w:val="0"/>
          <w:color w:val="000000"/>
          <w:kern w:val="32"/>
          <w:szCs w:val="32"/>
        </w:rPr>
      </w:pPr>
      <w:r>
        <w:rPr>
          <w:snapToGrid w:val="0"/>
          <w:color w:val="000000"/>
          <w:kern w:val="32"/>
          <w:szCs w:val="32"/>
        </w:rPr>
        <w:t>规定范围内：评标价算术平均值×70%与招标控制价×30%之和下浮25%以内的所有评标价；</w:t>
      </w:r>
    </w:p>
    <w:p w14:paraId="22D66011">
      <w:pPr>
        <w:tabs>
          <w:tab w:val="left" w:pos="0"/>
        </w:tabs>
        <w:spacing w:line="560" w:lineRule="exact"/>
        <w:ind w:firstLine="646" w:firstLineChars="202"/>
        <w:rPr>
          <w:snapToGrid w:val="0"/>
          <w:color w:val="000000"/>
          <w:kern w:val="32"/>
          <w:szCs w:val="32"/>
        </w:rPr>
      </w:pPr>
      <w:r>
        <w:rPr>
          <w:snapToGrid w:val="0"/>
          <w:color w:val="000000"/>
          <w:kern w:val="32"/>
          <w:szCs w:val="32"/>
        </w:rPr>
        <w:t>K、Δ可在开标时抽取，B值需在初步评审后在有效投标报价中随机抽取，也可以将K、Δ和B值统一在初步评审后抽取；下浮系数、下浮率各地可根据实际调整。</w:t>
      </w:r>
    </w:p>
    <w:tbl>
      <w:tblPr>
        <w:tblStyle w:val="3"/>
        <w:tblW w:w="9870" w:type="dxa"/>
        <w:jc w:val="center"/>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fixed"/>
        <w:tblCellMar>
          <w:top w:w="15" w:type="dxa"/>
          <w:left w:w="15" w:type="dxa"/>
          <w:bottom w:w="15" w:type="dxa"/>
          <w:right w:w="15" w:type="dxa"/>
        </w:tblCellMar>
      </w:tblPr>
      <w:tblGrid>
        <w:gridCol w:w="750"/>
        <w:gridCol w:w="2340"/>
        <w:gridCol w:w="6780"/>
      </w:tblGrid>
      <w:tr w14:paraId="06D38533">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3090" w:type="dxa"/>
            <w:gridSpan w:val="2"/>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4CC6EBAE">
            <w:pPr>
              <w:tabs>
                <w:tab w:val="left" w:pos="0"/>
              </w:tabs>
              <w:spacing w:line="560" w:lineRule="exact"/>
              <w:ind w:firstLine="646" w:firstLineChars="202"/>
              <w:rPr>
                <w:snapToGrid w:val="0"/>
                <w:color w:val="000000"/>
                <w:kern w:val="32"/>
                <w:szCs w:val="32"/>
              </w:rPr>
            </w:pPr>
            <w:r>
              <w:rPr>
                <w:snapToGrid w:val="0"/>
                <w:color w:val="000000"/>
                <w:kern w:val="32"/>
                <w:szCs w:val="32"/>
              </w:rPr>
              <w:t>分类</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78B7343C">
            <w:pPr>
              <w:tabs>
                <w:tab w:val="left" w:pos="0"/>
              </w:tabs>
              <w:spacing w:line="560" w:lineRule="exact"/>
              <w:ind w:firstLine="646" w:firstLineChars="202"/>
              <w:rPr>
                <w:snapToGrid w:val="0"/>
                <w:color w:val="000000"/>
                <w:kern w:val="32"/>
                <w:szCs w:val="32"/>
              </w:rPr>
            </w:pPr>
            <w:r>
              <w:rPr>
                <w:snapToGrid w:val="0"/>
                <w:color w:val="000000"/>
                <w:kern w:val="32"/>
                <w:szCs w:val="32"/>
              </w:rPr>
              <w:t>取值范围</w:t>
            </w:r>
          </w:p>
        </w:tc>
      </w:tr>
      <w:tr w14:paraId="3D5BC8D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3090" w:type="dxa"/>
            <w:gridSpan w:val="2"/>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087F6471">
            <w:pPr>
              <w:tabs>
                <w:tab w:val="left" w:pos="0"/>
              </w:tabs>
              <w:spacing w:line="560" w:lineRule="exact"/>
              <w:ind w:firstLine="646" w:firstLineChars="202"/>
              <w:rPr>
                <w:snapToGrid w:val="0"/>
                <w:color w:val="000000"/>
                <w:kern w:val="32"/>
                <w:szCs w:val="32"/>
              </w:rPr>
            </w:pPr>
            <w:r>
              <w:rPr>
                <w:snapToGrid w:val="0"/>
                <w:color w:val="000000"/>
                <w:kern w:val="32"/>
                <w:szCs w:val="32"/>
              </w:rPr>
              <w:t>下浮系数K</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02086DB3">
            <w:pPr>
              <w:tabs>
                <w:tab w:val="left" w:pos="0"/>
              </w:tabs>
              <w:spacing w:line="560" w:lineRule="exact"/>
              <w:ind w:firstLine="0" w:firstLineChars="0"/>
              <w:rPr>
                <w:snapToGrid w:val="0"/>
                <w:color w:val="000000"/>
                <w:kern w:val="32"/>
                <w:szCs w:val="32"/>
              </w:rPr>
            </w:pPr>
            <w:r>
              <w:rPr>
                <w:snapToGrid w:val="0"/>
                <w:color w:val="000000"/>
                <w:kern w:val="32"/>
                <w:szCs w:val="32"/>
              </w:rPr>
              <w:t>95%、95.5%、96%、96.5%、97%、97.5%、98%</w:t>
            </w:r>
          </w:p>
        </w:tc>
      </w:tr>
      <w:tr w14:paraId="1902DE39">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750" w:type="dxa"/>
            <w:vMerge w:val="restart"/>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6AD61215">
            <w:pPr>
              <w:tabs>
                <w:tab w:val="left" w:pos="0"/>
              </w:tabs>
              <w:spacing w:line="560" w:lineRule="exact"/>
              <w:ind w:firstLine="646" w:firstLineChars="202"/>
              <w:rPr>
                <w:snapToGrid w:val="0"/>
                <w:color w:val="000000"/>
                <w:kern w:val="32"/>
                <w:szCs w:val="32"/>
              </w:rPr>
            </w:pPr>
            <w:r>
              <w:rPr>
                <w:snapToGrid w:val="0"/>
                <w:color w:val="000000"/>
                <w:kern w:val="32"/>
                <w:szCs w:val="32"/>
              </w:rPr>
              <w:t>下浮率Δ</w:t>
            </w:r>
          </w:p>
        </w:tc>
        <w:tc>
          <w:tcPr>
            <w:tcW w:w="234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533F9F82">
            <w:pPr>
              <w:tabs>
                <w:tab w:val="left" w:pos="0"/>
              </w:tabs>
              <w:spacing w:line="560" w:lineRule="exact"/>
              <w:ind w:firstLine="0" w:firstLineChars="0"/>
              <w:jc w:val="center"/>
              <w:rPr>
                <w:snapToGrid w:val="0"/>
                <w:color w:val="000000"/>
                <w:kern w:val="32"/>
                <w:szCs w:val="32"/>
              </w:rPr>
            </w:pPr>
            <w:r>
              <w:rPr>
                <w:snapToGrid w:val="0"/>
                <w:color w:val="000000"/>
                <w:kern w:val="32"/>
                <w:szCs w:val="32"/>
              </w:rPr>
              <w:t>房屋建筑工程</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6AEA0AD8">
            <w:pPr>
              <w:tabs>
                <w:tab w:val="left" w:pos="0"/>
              </w:tabs>
              <w:spacing w:line="560" w:lineRule="exact"/>
              <w:ind w:firstLine="0" w:firstLineChars="0"/>
              <w:rPr>
                <w:snapToGrid w:val="0"/>
                <w:color w:val="000000"/>
                <w:kern w:val="32"/>
                <w:szCs w:val="32"/>
              </w:rPr>
            </w:pPr>
            <w:r>
              <w:rPr>
                <w:snapToGrid w:val="0"/>
                <w:color w:val="000000"/>
                <w:kern w:val="32"/>
                <w:szCs w:val="32"/>
              </w:rPr>
              <w:t>6%、7%、8%、9%、10%、11%、12%</w:t>
            </w:r>
          </w:p>
        </w:tc>
      </w:tr>
      <w:tr w14:paraId="4A86E07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750"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4F0026A4">
            <w:pPr>
              <w:tabs>
                <w:tab w:val="left" w:pos="0"/>
              </w:tabs>
              <w:spacing w:line="560" w:lineRule="exact"/>
              <w:ind w:firstLine="646" w:firstLineChars="202"/>
              <w:rPr>
                <w:snapToGrid w:val="0"/>
                <w:color w:val="000000"/>
                <w:kern w:val="32"/>
                <w:szCs w:val="32"/>
              </w:rPr>
            </w:pPr>
          </w:p>
        </w:tc>
        <w:tc>
          <w:tcPr>
            <w:tcW w:w="234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16D63D4F">
            <w:pPr>
              <w:tabs>
                <w:tab w:val="left" w:pos="0"/>
              </w:tabs>
              <w:spacing w:line="560" w:lineRule="exact"/>
              <w:ind w:firstLine="0" w:firstLineChars="0"/>
              <w:jc w:val="center"/>
              <w:rPr>
                <w:snapToGrid w:val="0"/>
                <w:color w:val="000000"/>
                <w:kern w:val="32"/>
                <w:szCs w:val="32"/>
              </w:rPr>
            </w:pPr>
            <w:r>
              <w:rPr>
                <w:snapToGrid w:val="0"/>
                <w:color w:val="000000"/>
                <w:kern w:val="32"/>
                <w:szCs w:val="32"/>
              </w:rPr>
              <w:t>装饰装修、建筑幕墙及钢结构工程</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6DBA5C32">
            <w:pPr>
              <w:tabs>
                <w:tab w:val="left" w:pos="0"/>
              </w:tabs>
              <w:spacing w:line="560" w:lineRule="exact"/>
              <w:ind w:firstLine="0" w:firstLineChars="0"/>
              <w:rPr>
                <w:snapToGrid w:val="0"/>
                <w:color w:val="000000"/>
                <w:kern w:val="32"/>
                <w:szCs w:val="32"/>
              </w:rPr>
            </w:pPr>
            <w:r>
              <w:rPr>
                <w:snapToGrid w:val="0"/>
                <w:color w:val="000000"/>
                <w:kern w:val="32"/>
                <w:szCs w:val="32"/>
              </w:rPr>
              <w:t>8%、9%、10%、11%、12%、13%、14%、15%</w:t>
            </w:r>
          </w:p>
        </w:tc>
      </w:tr>
      <w:tr w14:paraId="7BE456B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750"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4A605FC4">
            <w:pPr>
              <w:tabs>
                <w:tab w:val="left" w:pos="0"/>
              </w:tabs>
              <w:spacing w:line="560" w:lineRule="exact"/>
              <w:ind w:firstLine="646" w:firstLineChars="202"/>
              <w:rPr>
                <w:snapToGrid w:val="0"/>
                <w:color w:val="000000"/>
                <w:kern w:val="32"/>
                <w:szCs w:val="32"/>
              </w:rPr>
            </w:pPr>
          </w:p>
        </w:tc>
        <w:tc>
          <w:tcPr>
            <w:tcW w:w="234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05F94F32">
            <w:pPr>
              <w:tabs>
                <w:tab w:val="left" w:pos="0"/>
              </w:tabs>
              <w:spacing w:line="560" w:lineRule="exact"/>
              <w:ind w:firstLine="0" w:firstLineChars="0"/>
              <w:jc w:val="center"/>
              <w:rPr>
                <w:snapToGrid w:val="0"/>
                <w:color w:val="000000"/>
                <w:kern w:val="32"/>
                <w:szCs w:val="32"/>
              </w:rPr>
            </w:pPr>
            <w:r>
              <w:rPr>
                <w:snapToGrid w:val="0"/>
                <w:color w:val="000000"/>
                <w:kern w:val="32"/>
                <w:szCs w:val="32"/>
              </w:rPr>
              <w:t>机电安装工程</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625E15F1">
            <w:pPr>
              <w:tabs>
                <w:tab w:val="left" w:pos="0"/>
              </w:tabs>
              <w:spacing w:line="560" w:lineRule="exact"/>
              <w:ind w:firstLine="0" w:firstLineChars="0"/>
              <w:rPr>
                <w:snapToGrid w:val="0"/>
                <w:color w:val="000000"/>
                <w:kern w:val="32"/>
                <w:szCs w:val="32"/>
              </w:rPr>
            </w:pPr>
            <w:r>
              <w:rPr>
                <w:snapToGrid w:val="0"/>
                <w:color w:val="000000"/>
                <w:kern w:val="32"/>
                <w:szCs w:val="32"/>
              </w:rPr>
              <w:t>9%、10%、11%、12%、13%、14%、15%、16%</w:t>
            </w:r>
          </w:p>
        </w:tc>
      </w:tr>
      <w:tr w14:paraId="0CAFB61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750" w:type="dxa"/>
            <w:vMerge w:val="continue"/>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077F5B57">
            <w:pPr>
              <w:tabs>
                <w:tab w:val="left" w:pos="0"/>
              </w:tabs>
              <w:spacing w:line="560" w:lineRule="exact"/>
              <w:ind w:firstLine="646" w:firstLineChars="202"/>
              <w:rPr>
                <w:snapToGrid w:val="0"/>
                <w:color w:val="000000"/>
                <w:kern w:val="32"/>
                <w:szCs w:val="32"/>
              </w:rPr>
            </w:pPr>
          </w:p>
        </w:tc>
        <w:tc>
          <w:tcPr>
            <w:tcW w:w="234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7B04FC7A">
            <w:pPr>
              <w:tabs>
                <w:tab w:val="left" w:pos="0"/>
              </w:tabs>
              <w:spacing w:line="560" w:lineRule="exact"/>
              <w:ind w:firstLine="0" w:firstLineChars="0"/>
              <w:jc w:val="center"/>
              <w:rPr>
                <w:snapToGrid w:val="0"/>
                <w:color w:val="000000"/>
                <w:kern w:val="32"/>
                <w:szCs w:val="32"/>
              </w:rPr>
            </w:pPr>
            <w:r>
              <w:rPr>
                <w:snapToGrid w:val="0"/>
                <w:color w:val="000000"/>
                <w:kern w:val="32"/>
                <w:szCs w:val="32"/>
              </w:rPr>
              <w:t>市政工程</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7CC6C2B3">
            <w:pPr>
              <w:tabs>
                <w:tab w:val="left" w:pos="0"/>
              </w:tabs>
              <w:spacing w:line="560" w:lineRule="exact"/>
              <w:ind w:firstLine="0" w:firstLineChars="0"/>
              <w:rPr>
                <w:snapToGrid w:val="0"/>
                <w:color w:val="000000"/>
                <w:kern w:val="32"/>
                <w:szCs w:val="32"/>
              </w:rPr>
            </w:pPr>
            <w:r>
              <w:rPr>
                <w:snapToGrid w:val="0"/>
                <w:color w:val="000000"/>
                <w:kern w:val="32"/>
                <w:szCs w:val="32"/>
              </w:rPr>
              <w:t>12%、13%、14%、15%、16%、17%、18%、19%、20%</w:t>
            </w:r>
          </w:p>
        </w:tc>
      </w:tr>
      <w:tr w14:paraId="02EAC567">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15" w:type="dxa"/>
            <w:left w:w="15" w:type="dxa"/>
            <w:bottom w:w="15" w:type="dxa"/>
            <w:right w:w="15" w:type="dxa"/>
          </w:tblCellMar>
        </w:tblPrEx>
        <w:trPr>
          <w:jc w:val="center"/>
        </w:trPr>
        <w:tc>
          <w:tcPr>
            <w:tcW w:w="75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352002EF">
            <w:pPr>
              <w:tabs>
                <w:tab w:val="left" w:pos="0"/>
              </w:tabs>
              <w:spacing w:line="560" w:lineRule="exact"/>
              <w:ind w:firstLine="646" w:firstLineChars="202"/>
              <w:rPr>
                <w:snapToGrid w:val="0"/>
                <w:color w:val="000000"/>
                <w:kern w:val="32"/>
                <w:szCs w:val="32"/>
              </w:rPr>
            </w:pPr>
          </w:p>
        </w:tc>
        <w:tc>
          <w:tcPr>
            <w:tcW w:w="234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5AACA8A5">
            <w:pPr>
              <w:tabs>
                <w:tab w:val="left" w:pos="0"/>
              </w:tabs>
              <w:spacing w:line="560" w:lineRule="exact"/>
              <w:ind w:firstLine="0" w:firstLineChars="0"/>
              <w:jc w:val="center"/>
              <w:rPr>
                <w:snapToGrid w:val="0"/>
                <w:color w:val="000000"/>
                <w:kern w:val="32"/>
                <w:szCs w:val="32"/>
              </w:rPr>
            </w:pPr>
            <w:r>
              <w:rPr>
                <w:snapToGrid w:val="0"/>
                <w:color w:val="000000"/>
                <w:kern w:val="32"/>
                <w:szCs w:val="32"/>
              </w:rPr>
              <w:t>绿化工程</w:t>
            </w:r>
          </w:p>
        </w:tc>
        <w:tc>
          <w:tcPr>
            <w:tcW w:w="6780" w:type="dxa"/>
            <w:tcBorders>
              <w:top w:val="outset" w:color="000000" w:sz="6" w:space="0"/>
              <w:left w:val="outset" w:color="000000" w:sz="6" w:space="0"/>
              <w:bottom w:val="outset" w:color="000000" w:sz="6" w:space="0"/>
              <w:right w:val="outset" w:color="000000" w:sz="6" w:space="0"/>
            </w:tcBorders>
            <w:shd w:val="clear" w:color="auto" w:fill="FFFFFF"/>
            <w:noWrap w:val="0"/>
            <w:tcMar>
              <w:top w:w="0" w:type="dxa"/>
              <w:left w:w="150" w:type="dxa"/>
              <w:bottom w:w="0" w:type="dxa"/>
              <w:right w:w="150" w:type="dxa"/>
            </w:tcMar>
            <w:vAlign w:val="center"/>
          </w:tcPr>
          <w:p w14:paraId="5391C733">
            <w:pPr>
              <w:tabs>
                <w:tab w:val="left" w:pos="0"/>
              </w:tabs>
              <w:spacing w:line="560" w:lineRule="exact"/>
              <w:ind w:firstLine="0" w:firstLineChars="0"/>
              <w:rPr>
                <w:snapToGrid w:val="0"/>
                <w:color w:val="000000"/>
                <w:kern w:val="32"/>
                <w:szCs w:val="32"/>
              </w:rPr>
            </w:pPr>
            <w:r>
              <w:rPr>
                <w:snapToGrid w:val="0"/>
                <w:color w:val="000000"/>
                <w:kern w:val="32"/>
                <w:szCs w:val="32"/>
              </w:rPr>
              <w:t>17%、18%、19%、20%、21%、22%、23%、24%、25%</w:t>
            </w:r>
          </w:p>
        </w:tc>
      </w:tr>
    </w:tbl>
    <w:p w14:paraId="34C28A96">
      <w:pPr>
        <w:tabs>
          <w:tab w:val="left" w:pos="0"/>
        </w:tabs>
        <w:spacing w:line="560" w:lineRule="exact"/>
        <w:ind w:firstLine="646" w:firstLineChars="202"/>
        <w:rPr>
          <w:snapToGrid w:val="0"/>
          <w:color w:val="000000"/>
          <w:kern w:val="32"/>
          <w:szCs w:val="32"/>
        </w:rPr>
      </w:pPr>
      <w:r>
        <w:rPr>
          <w:snapToGrid w:val="0"/>
          <w:color w:val="000000"/>
          <w:kern w:val="32"/>
          <w:szCs w:val="32"/>
        </w:rPr>
        <w:t>上述招标控制价和评标价均应扣除专业工程暂估价（含税金）后参与计算和抽取；应扣除的专业工程暂估价（含税金）须在招标文件中予以明确，开标时不再另行计算。</w:t>
      </w:r>
    </w:p>
    <w:p w14:paraId="5D438B76">
      <w:pPr>
        <w:tabs>
          <w:tab w:val="left" w:pos="0"/>
        </w:tabs>
        <w:spacing w:line="560" w:lineRule="exact"/>
        <w:ind w:firstLine="646" w:firstLineChars="202"/>
        <w:rPr>
          <w:snapToGrid w:val="0"/>
          <w:color w:val="000000"/>
          <w:kern w:val="32"/>
          <w:szCs w:val="32"/>
        </w:rPr>
      </w:pPr>
      <w:r>
        <w:rPr>
          <w:snapToGrid w:val="0"/>
          <w:color w:val="000000"/>
          <w:kern w:val="32"/>
          <w:szCs w:val="32"/>
        </w:rPr>
        <w:t>2．评标价〔采用方法五时，评标价应扣除专业工程暂估价（含税金）〕等于评标基准价的得满分，评标价相对评标基准价每低1%的所扣分值不少于0.6 分，每高1%的所扣分值为负偏离扣分的1.5倍；偏离不足1%的，按照插入法计算得分。</w:t>
      </w:r>
    </w:p>
    <w:p w14:paraId="2FA718E8">
      <w:pPr>
        <w:tabs>
          <w:tab w:val="left" w:pos="0"/>
        </w:tabs>
        <w:spacing w:line="560" w:lineRule="exact"/>
        <w:ind w:firstLine="646" w:firstLineChars="202"/>
        <w:rPr>
          <w:snapToGrid w:val="0"/>
          <w:color w:val="000000"/>
          <w:kern w:val="32"/>
          <w:szCs w:val="32"/>
        </w:rPr>
      </w:pPr>
      <w:r>
        <w:rPr>
          <w:snapToGrid w:val="0"/>
          <w:color w:val="000000"/>
          <w:kern w:val="32"/>
          <w:szCs w:val="32"/>
        </w:rPr>
        <w:t>（二）采用经评审的最低投标报价法的，招标人可以参考上述第（一）款第1条中方法四，通过计算合理最低价作为判定投标报价是否低于成本的依据，具体要求应在招标文件明确。</w:t>
      </w:r>
    </w:p>
    <w:p w14:paraId="342A87BD">
      <w:pPr>
        <w:tabs>
          <w:tab w:val="left" w:pos="0"/>
        </w:tabs>
        <w:spacing w:line="560" w:lineRule="exact"/>
        <w:ind w:firstLine="646" w:firstLineChars="202"/>
        <w:rPr>
          <w:snapToGrid w:val="0"/>
          <w:color w:val="000000"/>
          <w:kern w:val="32"/>
          <w:szCs w:val="32"/>
        </w:rPr>
      </w:pPr>
      <w:r>
        <w:rPr>
          <w:snapToGrid w:val="0"/>
          <w:color w:val="000000"/>
          <w:kern w:val="32"/>
          <w:szCs w:val="32"/>
        </w:rPr>
        <w:t>（三）招标人应在招标文件中明确，当出现招投标当事人异议、投诉以及评委评审和计算错误的，评标基准价是否重新计算。</w:t>
      </w:r>
    </w:p>
    <w:p w14:paraId="1506C137">
      <w:pPr>
        <w:tabs>
          <w:tab w:val="left" w:pos="0"/>
        </w:tabs>
        <w:spacing w:line="560" w:lineRule="exact"/>
        <w:ind w:firstLine="646" w:firstLineChars="202"/>
        <w:rPr>
          <w:rFonts w:hint="default" w:ascii="Times New Roman" w:eastAsia="方正黑体_GBK"/>
          <w:snapToGrid w:val="0"/>
          <w:color w:val="000000"/>
          <w:kern w:val="32"/>
          <w:szCs w:val="32"/>
        </w:rPr>
      </w:pPr>
      <w:r>
        <w:rPr>
          <w:rFonts w:hint="default" w:ascii="Times New Roman" w:eastAsia="方正黑体_GBK"/>
          <w:snapToGrid w:val="0"/>
          <w:color w:val="000000"/>
          <w:kern w:val="32"/>
          <w:szCs w:val="32"/>
        </w:rPr>
        <w:t>三、预选招标的程序</w:t>
      </w:r>
    </w:p>
    <w:p w14:paraId="2E16716D">
      <w:pPr>
        <w:tabs>
          <w:tab w:val="left" w:pos="0"/>
        </w:tabs>
        <w:spacing w:line="560" w:lineRule="exact"/>
        <w:ind w:firstLine="646" w:firstLineChars="202"/>
        <w:rPr>
          <w:snapToGrid w:val="0"/>
          <w:color w:val="000000"/>
          <w:kern w:val="32"/>
          <w:szCs w:val="32"/>
        </w:rPr>
      </w:pPr>
      <w:r>
        <w:rPr>
          <w:snapToGrid w:val="0"/>
          <w:color w:val="000000"/>
          <w:kern w:val="32"/>
          <w:szCs w:val="32"/>
        </w:rPr>
        <w:t>“预选招标”是指对一定的时间段内的同类型小型的、筒单的、 通用的工程或者与工程建设有关的货物、服务等在预估工作量后，打包招标确定预选中标人，单个工程实施时，可按前期“预选招标”的结果直接确定承包人，工程量按实际发生量计算。“预选招标”可参照下列程序进行，招标人应当在招标文件中明确。</w:t>
      </w:r>
    </w:p>
    <w:p w14:paraId="6739C574">
      <w:pPr>
        <w:tabs>
          <w:tab w:val="left" w:pos="0"/>
        </w:tabs>
        <w:spacing w:line="560" w:lineRule="exact"/>
        <w:ind w:firstLine="646" w:firstLineChars="202"/>
        <w:rPr>
          <w:snapToGrid w:val="0"/>
          <w:color w:val="000000"/>
          <w:kern w:val="32"/>
          <w:szCs w:val="32"/>
        </w:rPr>
      </w:pPr>
      <w:r>
        <w:rPr>
          <w:snapToGrid w:val="0"/>
          <w:color w:val="000000"/>
          <w:kern w:val="32"/>
          <w:szCs w:val="32"/>
        </w:rPr>
        <w:t>1．预估工作量：一般按照年度计划预估，或者按照历史数据推测预估。</w:t>
      </w:r>
    </w:p>
    <w:p w14:paraId="33112A89">
      <w:pPr>
        <w:tabs>
          <w:tab w:val="left" w:pos="0"/>
        </w:tabs>
        <w:spacing w:line="560" w:lineRule="exact"/>
        <w:ind w:firstLine="646" w:firstLineChars="202"/>
        <w:rPr>
          <w:snapToGrid w:val="0"/>
          <w:color w:val="000000"/>
          <w:kern w:val="32"/>
          <w:szCs w:val="32"/>
        </w:rPr>
      </w:pPr>
      <w:r>
        <w:rPr>
          <w:snapToGrid w:val="0"/>
          <w:color w:val="000000"/>
          <w:kern w:val="32"/>
          <w:szCs w:val="32"/>
        </w:rPr>
        <w:t>2．打包：招标人可根据预估工作量的大小及工程的分布等具体情况，将预估工作量整合成一个标段或多个标段。</w:t>
      </w:r>
    </w:p>
    <w:p w14:paraId="7A247475">
      <w:pPr>
        <w:tabs>
          <w:tab w:val="left" w:pos="0"/>
        </w:tabs>
        <w:spacing w:line="560" w:lineRule="exact"/>
        <w:ind w:firstLine="646" w:firstLineChars="202"/>
        <w:rPr>
          <w:snapToGrid w:val="0"/>
          <w:color w:val="000000"/>
          <w:kern w:val="32"/>
          <w:szCs w:val="32"/>
        </w:rPr>
      </w:pPr>
      <w:r>
        <w:rPr>
          <w:snapToGrid w:val="0"/>
          <w:color w:val="000000"/>
          <w:kern w:val="32"/>
          <w:szCs w:val="32"/>
        </w:rPr>
        <w:t>3．招标：可预估工作量的采用工程量清单招标，无法预估工作量的采用费率招标。</w:t>
      </w:r>
    </w:p>
    <w:p w14:paraId="6D2D7F69">
      <w:pPr>
        <w:tabs>
          <w:tab w:val="left" w:pos="0"/>
        </w:tabs>
        <w:spacing w:line="560" w:lineRule="exact"/>
        <w:ind w:firstLine="646" w:firstLineChars="202"/>
        <w:rPr>
          <w:snapToGrid w:val="0"/>
          <w:color w:val="000000"/>
          <w:kern w:val="32"/>
          <w:szCs w:val="32"/>
        </w:rPr>
      </w:pPr>
      <w:r>
        <w:rPr>
          <w:snapToGrid w:val="0"/>
          <w:color w:val="000000"/>
          <w:kern w:val="32"/>
          <w:szCs w:val="32"/>
        </w:rPr>
        <w:t>4．预选中标人：打包多个标段招标的，每个标段的第一名为预选中标人；打包一个标段招标的，可在招标文件中明确选择1名或多名预选中标人(在招标文件中明确预选中标单位承接项目的顺序和规则)。</w:t>
      </w:r>
    </w:p>
    <w:p w14:paraId="2F25F56C">
      <w:pPr>
        <w:tabs>
          <w:tab w:val="left" w:pos="0"/>
        </w:tabs>
        <w:spacing w:line="560" w:lineRule="exact"/>
        <w:ind w:firstLine="646" w:firstLineChars="202"/>
        <w:rPr>
          <w:snapToGrid w:val="0"/>
          <w:color w:val="000000"/>
          <w:kern w:val="32"/>
          <w:szCs w:val="32"/>
        </w:rPr>
      </w:pPr>
      <w:r>
        <w:rPr>
          <w:snapToGrid w:val="0"/>
          <w:color w:val="000000"/>
          <w:kern w:val="32"/>
          <w:szCs w:val="32"/>
        </w:rPr>
        <w:t>5．直接确定承包人：只有一名预选中标人的，可直接分配项目；对于有多名预选中标人的，按照招标文件中明确的承接项目顺序和规则分配任务。</w:t>
      </w:r>
    </w:p>
    <w:p w14:paraId="71D4C4D8">
      <w:pPr>
        <w:tabs>
          <w:tab w:val="left" w:pos="0"/>
        </w:tabs>
        <w:spacing w:line="560" w:lineRule="exact"/>
        <w:ind w:firstLine="646" w:firstLineChars="202"/>
        <w:rPr>
          <w:snapToGrid w:val="0"/>
          <w:color w:val="000000"/>
          <w:kern w:val="32"/>
          <w:szCs w:val="32"/>
        </w:rPr>
      </w:pPr>
      <w:r>
        <w:rPr>
          <w:snapToGrid w:val="0"/>
          <w:color w:val="000000"/>
          <w:kern w:val="32"/>
          <w:szCs w:val="32"/>
        </w:rPr>
        <w:t>6．采用“预选招标”的项目，结算单价按中标单价或费率计取， 工程量按实际发生量计算。</w:t>
      </w:r>
    </w:p>
    <w:p w14:paraId="4191D484">
      <w:pPr>
        <w:tabs>
          <w:tab w:val="left" w:pos="0"/>
        </w:tabs>
        <w:spacing w:line="560" w:lineRule="exact"/>
        <w:ind w:firstLine="646" w:firstLineChars="202"/>
        <w:rPr>
          <w:snapToGrid w:val="0"/>
          <w:color w:val="000000"/>
          <w:kern w:val="32"/>
          <w:szCs w:val="32"/>
        </w:rPr>
      </w:pPr>
      <w:r>
        <w:rPr>
          <w:snapToGrid w:val="0"/>
          <w:color w:val="000000"/>
          <w:kern w:val="32"/>
          <w:szCs w:val="32"/>
        </w:rPr>
        <w:t>绿化养护、市政养护工程，对项目负责人是否有在建工程不作要求，如招标人另有要求的，须在招标文件中明确。</w:t>
      </w:r>
    </w:p>
    <w:p w14:paraId="2961708E">
      <w:pPr>
        <w:tabs>
          <w:tab w:val="left" w:pos="0"/>
        </w:tabs>
        <w:spacing w:line="560" w:lineRule="exact"/>
        <w:ind w:firstLine="646" w:firstLineChars="202"/>
        <w:rPr>
          <w:rFonts w:eastAsia="方正黑体_GBK"/>
          <w:snapToGrid w:val="0"/>
          <w:color w:val="000000"/>
          <w:kern w:val="32"/>
          <w:szCs w:val="32"/>
        </w:rPr>
      </w:pPr>
      <w:r>
        <w:rPr>
          <w:rFonts w:eastAsia="方正黑体_GBK"/>
          <w:snapToGrid w:val="0"/>
          <w:color w:val="000000"/>
          <w:kern w:val="32"/>
          <w:szCs w:val="32"/>
        </w:rPr>
        <w:t>四、评标结果公示内容</w:t>
      </w:r>
    </w:p>
    <w:p w14:paraId="282E80CC">
      <w:pPr>
        <w:tabs>
          <w:tab w:val="left" w:pos="0"/>
        </w:tabs>
        <w:spacing w:line="560" w:lineRule="exact"/>
        <w:ind w:firstLine="646" w:firstLineChars="202"/>
        <w:rPr>
          <w:snapToGrid w:val="0"/>
          <w:color w:val="000000"/>
          <w:kern w:val="32"/>
          <w:szCs w:val="32"/>
        </w:rPr>
      </w:pPr>
      <w:r>
        <w:rPr>
          <w:snapToGrid w:val="0"/>
          <w:color w:val="000000"/>
          <w:kern w:val="32"/>
          <w:szCs w:val="32"/>
        </w:rPr>
        <w:t>招标人在收到评标报告之日起3日内应当发布评标结果公示，公示期不得少于3日。具本公示内容如下：</w:t>
      </w:r>
    </w:p>
    <w:p w14:paraId="78F4243E">
      <w:pPr>
        <w:tabs>
          <w:tab w:val="left" w:pos="0"/>
        </w:tabs>
        <w:spacing w:line="560" w:lineRule="exact"/>
        <w:ind w:firstLine="646" w:firstLineChars="202"/>
        <w:rPr>
          <w:snapToGrid w:val="0"/>
          <w:color w:val="000000"/>
          <w:kern w:val="32"/>
          <w:szCs w:val="32"/>
        </w:rPr>
      </w:pPr>
      <w:r>
        <w:rPr>
          <w:snapToGrid w:val="0"/>
          <w:color w:val="000000"/>
          <w:kern w:val="32"/>
          <w:szCs w:val="32"/>
        </w:rPr>
        <w:t>（1）评标委员会推荐的中标候选人名单及排序，各中标候选人的投标总价(含暂估价、暂列金额)、工期、质量、投标文件提供的类似工程业绩、奖项等具体情况；</w:t>
      </w:r>
    </w:p>
    <w:p w14:paraId="11A323CE">
      <w:pPr>
        <w:tabs>
          <w:tab w:val="left" w:pos="0"/>
        </w:tabs>
        <w:spacing w:line="560" w:lineRule="exact"/>
        <w:ind w:firstLine="646" w:firstLineChars="202"/>
        <w:rPr>
          <w:snapToGrid w:val="0"/>
          <w:color w:val="000000"/>
          <w:kern w:val="32"/>
          <w:szCs w:val="32"/>
        </w:rPr>
      </w:pPr>
      <w:r>
        <w:rPr>
          <w:snapToGrid w:val="0"/>
          <w:color w:val="000000"/>
          <w:kern w:val="32"/>
          <w:szCs w:val="32"/>
        </w:rPr>
        <w:t>（2）采用资格后审方式的，资格后审不合格的投标人的名称以及不合格的具体原因；</w:t>
      </w:r>
    </w:p>
    <w:p w14:paraId="3BB6C090">
      <w:pPr>
        <w:tabs>
          <w:tab w:val="left" w:pos="0"/>
        </w:tabs>
        <w:spacing w:line="560" w:lineRule="exact"/>
        <w:ind w:firstLine="646" w:firstLineChars="202"/>
        <w:rPr>
          <w:snapToGrid w:val="0"/>
          <w:color w:val="000000"/>
          <w:kern w:val="32"/>
          <w:szCs w:val="32"/>
        </w:rPr>
      </w:pPr>
      <w:r>
        <w:rPr>
          <w:snapToGrid w:val="0"/>
          <w:color w:val="000000"/>
          <w:kern w:val="32"/>
          <w:szCs w:val="32"/>
        </w:rPr>
        <w:t>采用资格预审的项目，应公示中标候选人资格预审的相关信息，包括企业或项目负责人奖项、业绩等；采用有限数量制资格预审的，还应公布中标候选人的资格审查得分。</w:t>
      </w:r>
    </w:p>
    <w:p w14:paraId="06F88631">
      <w:pPr>
        <w:tabs>
          <w:tab w:val="left" w:pos="0"/>
        </w:tabs>
        <w:spacing w:line="560" w:lineRule="exact"/>
        <w:ind w:firstLine="646" w:firstLineChars="202"/>
        <w:rPr>
          <w:snapToGrid w:val="0"/>
          <w:color w:val="000000"/>
          <w:kern w:val="32"/>
          <w:szCs w:val="32"/>
        </w:rPr>
      </w:pPr>
      <w:r>
        <w:rPr>
          <w:snapToGrid w:val="0"/>
          <w:color w:val="000000"/>
          <w:kern w:val="32"/>
          <w:szCs w:val="32"/>
        </w:rPr>
        <w:t>（3）被判为无效投标文件的投标人名称以及被判定为无效投标文件的依据；</w:t>
      </w:r>
    </w:p>
    <w:p w14:paraId="2029E81F">
      <w:pPr>
        <w:tabs>
          <w:tab w:val="left" w:pos="0"/>
        </w:tabs>
        <w:spacing w:line="560" w:lineRule="exact"/>
        <w:ind w:firstLine="646" w:firstLineChars="202"/>
        <w:rPr>
          <w:snapToGrid w:val="0"/>
          <w:color w:val="000000"/>
          <w:kern w:val="32"/>
          <w:szCs w:val="32"/>
        </w:rPr>
      </w:pPr>
      <w:r>
        <w:rPr>
          <w:snapToGrid w:val="0"/>
          <w:color w:val="000000"/>
          <w:kern w:val="32"/>
          <w:szCs w:val="32"/>
        </w:rPr>
        <w:t>（4）评标委员会对投标报价修正的原因、依据和修正结果；</w:t>
      </w:r>
    </w:p>
    <w:p w14:paraId="0C48A2D3">
      <w:pPr>
        <w:tabs>
          <w:tab w:val="left" w:pos="0"/>
        </w:tabs>
        <w:spacing w:line="560" w:lineRule="exact"/>
        <w:ind w:firstLine="646" w:firstLineChars="202"/>
        <w:rPr>
          <w:snapToGrid w:val="0"/>
          <w:color w:val="000000"/>
          <w:kern w:val="32"/>
          <w:szCs w:val="32"/>
        </w:rPr>
      </w:pPr>
      <w:r>
        <w:rPr>
          <w:snapToGrid w:val="0"/>
          <w:color w:val="000000"/>
          <w:kern w:val="32"/>
          <w:szCs w:val="32"/>
        </w:rPr>
        <w:t>（5）投标人及其拟派项目负责人类似工程业绩、奖项、投标报价、投标报价合理性等得分情况；</w:t>
      </w:r>
    </w:p>
    <w:p w14:paraId="1ACD0512">
      <w:pPr>
        <w:tabs>
          <w:tab w:val="left" w:pos="0"/>
        </w:tabs>
        <w:spacing w:line="560" w:lineRule="exact"/>
        <w:ind w:firstLine="646" w:firstLineChars="202"/>
        <w:rPr>
          <w:snapToGrid w:val="0"/>
          <w:color w:val="000000"/>
          <w:kern w:val="32"/>
          <w:szCs w:val="32"/>
        </w:rPr>
      </w:pPr>
      <w:r>
        <w:rPr>
          <w:snapToGrid w:val="0"/>
          <w:color w:val="000000"/>
          <w:kern w:val="32"/>
          <w:szCs w:val="32"/>
        </w:rPr>
        <w:t>（6）每一评审技术标的评标委员会成员为各投标人技术标部分的评分情况(评标委员会成员的名单不公布)；</w:t>
      </w:r>
    </w:p>
    <w:p w14:paraId="7FA5F96F">
      <w:pPr>
        <w:tabs>
          <w:tab w:val="left" w:pos="0"/>
        </w:tabs>
        <w:spacing w:line="560" w:lineRule="exact"/>
        <w:ind w:firstLine="646" w:firstLineChars="202"/>
        <w:rPr>
          <w:snapToGrid w:val="0"/>
          <w:color w:val="000000"/>
          <w:kern w:val="32"/>
          <w:szCs w:val="32"/>
        </w:rPr>
      </w:pPr>
      <w:r>
        <w:rPr>
          <w:snapToGrid w:val="0"/>
          <w:color w:val="000000"/>
          <w:kern w:val="32"/>
          <w:szCs w:val="32"/>
        </w:rPr>
        <w:t>（7）各投标人的最终总得分；</w:t>
      </w:r>
    </w:p>
    <w:p w14:paraId="032F60DA">
      <w:pPr>
        <w:tabs>
          <w:tab w:val="left" w:pos="0"/>
        </w:tabs>
        <w:spacing w:line="560" w:lineRule="exact"/>
        <w:ind w:firstLine="646" w:firstLineChars="202"/>
        <w:rPr>
          <w:snapToGrid w:val="0"/>
          <w:color w:val="000000"/>
          <w:kern w:val="32"/>
          <w:szCs w:val="32"/>
        </w:rPr>
      </w:pPr>
      <w:r>
        <w:rPr>
          <w:snapToGrid w:val="0"/>
          <w:color w:val="000000"/>
          <w:kern w:val="32"/>
          <w:szCs w:val="32"/>
        </w:rPr>
        <w:t>（8）拟中标人。</w:t>
      </w:r>
    </w:p>
    <w:p w14:paraId="15D1A276">
      <w:pPr>
        <w:tabs>
          <w:tab w:val="left" w:pos="0"/>
        </w:tabs>
        <w:spacing w:line="560" w:lineRule="exact"/>
        <w:ind w:firstLine="646" w:firstLineChars="202"/>
        <w:rPr>
          <w:rFonts w:eastAsia="方正黑体_GBK"/>
          <w:snapToGrid w:val="0"/>
          <w:color w:val="000000"/>
          <w:kern w:val="32"/>
          <w:szCs w:val="32"/>
        </w:rPr>
      </w:pPr>
      <w:r>
        <w:rPr>
          <w:rFonts w:eastAsia="方正黑体_GBK"/>
          <w:snapToGrid w:val="0"/>
          <w:color w:val="000000"/>
          <w:kern w:val="32"/>
          <w:szCs w:val="32"/>
        </w:rPr>
        <w:t>五、其他</w:t>
      </w:r>
    </w:p>
    <w:p w14:paraId="0F7E903B">
      <w:r>
        <w:rPr>
          <w:rFonts w:ascii="Times New Roman" w:hAnsi="Times New Roman"/>
          <w:snapToGrid w:val="0"/>
          <w:color w:val="000000"/>
          <w:kern w:val="32"/>
          <w:szCs w:val="32"/>
        </w:rPr>
        <w:t>各地可以结合本地区实际情况，制定的其他评标入围方法、投标报价评审办法和“预选招标”的程序。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212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2024-12-18T09:05:30Z</dcterms:created>
  <dc:creator>Sun</dc:creator>
  <cp:lastModifiedBy>火木</cp:lastModifiedBy>
  <dcterms:modified xsi:type="dcterms:W3CDTF">2024-12-18T09:05:49Z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C1944FF609B44C5CB73DF6679C4B376A_12</vt:lpwstr>
  </property>
</Properties>
</file>