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93492">
      <w:pPr>
        <w:spacing w:line="560" w:lineRule="exact"/>
        <w:rPr>
          <w:rFonts w:hint="default" w:eastAsia="方正黑体_GBK"/>
          <w:snapToGrid w:val="0"/>
          <w:color w:val="000000"/>
          <w:kern w:val="0"/>
          <w:szCs w:val="32"/>
          <w:lang w:val="en-US" w:eastAsia="zh-CN"/>
        </w:rPr>
      </w:pPr>
      <w:bookmarkStart w:id="0" w:name="_Toc20726280"/>
      <w:bookmarkStart w:id="1" w:name="_Toc28698258"/>
      <w:bookmarkStart w:id="2" w:name="_Toc18315358"/>
      <w:bookmarkStart w:id="3" w:name="_Toc28698584"/>
      <w:r>
        <w:rPr>
          <w:rFonts w:eastAsia="方正黑体_GBK"/>
          <w:snapToGrid w:val="0"/>
          <w:color w:val="000000"/>
          <w:kern w:val="0"/>
          <w:szCs w:val="32"/>
        </w:rPr>
        <w:t>附件</w:t>
      </w:r>
      <w:r>
        <w:rPr>
          <w:rFonts w:hint="eastAsia" w:eastAsia="方正黑体_GBK"/>
          <w:snapToGrid w:val="0"/>
          <w:color w:val="000000"/>
          <w:kern w:val="0"/>
          <w:szCs w:val="32"/>
          <w:lang w:val="en-US" w:eastAsia="zh-CN"/>
        </w:rPr>
        <w:t>14</w:t>
      </w:r>
    </w:p>
    <w:p w14:paraId="7DB5B254">
      <w:pPr>
        <w:spacing w:line="560" w:lineRule="exact"/>
        <w:rPr>
          <w:snapToGrid w:val="0"/>
          <w:color w:val="000000"/>
          <w:kern w:val="32"/>
          <w:szCs w:val="32"/>
        </w:rPr>
      </w:pPr>
    </w:p>
    <w:p w14:paraId="71B445D0">
      <w:pPr>
        <w:spacing w:line="560" w:lineRule="exact"/>
        <w:jc w:val="center"/>
        <w:rPr>
          <w:rFonts w:eastAsia="方正小标宋_GBK"/>
          <w:snapToGrid w:val="0"/>
          <w:color w:val="000000"/>
          <w:kern w:val="0"/>
          <w:sz w:val="44"/>
          <w:szCs w:val="44"/>
        </w:rPr>
      </w:pPr>
      <w:r>
        <w:rPr>
          <w:rFonts w:eastAsia="方正小标宋_GBK"/>
          <w:snapToGrid w:val="0"/>
          <w:color w:val="000000"/>
          <w:kern w:val="0"/>
          <w:sz w:val="44"/>
          <w:szCs w:val="44"/>
        </w:rPr>
        <w:t>江苏省房屋建筑和市政基础设施工程</w:t>
      </w:r>
    </w:p>
    <w:p w14:paraId="5A650585">
      <w:pPr>
        <w:spacing w:line="560" w:lineRule="exact"/>
        <w:jc w:val="center"/>
        <w:rPr>
          <w:rFonts w:eastAsia="方正小标宋_GBK"/>
          <w:snapToGrid w:val="0"/>
          <w:color w:val="000000"/>
          <w:kern w:val="0"/>
          <w:sz w:val="44"/>
          <w:szCs w:val="44"/>
        </w:rPr>
      </w:pPr>
      <w:r>
        <w:rPr>
          <w:rFonts w:eastAsia="方正小标宋_GBK"/>
          <w:snapToGrid w:val="0"/>
          <w:color w:val="000000"/>
          <w:kern w:val="0"/>
          <w:sz w:val="44"/>
          <w:szCs w:val="44"/>
        </w:rPr>
        <w:t>施工招标评标办法</w:t>
      </w:r>
    </w:p>
    <w:p w14:paraId="5901F52A">
      <w:pPr>
        <w:spacing w:line="560" w:lineRule="exact"/>
        <w:jc w:val="center"/>
        <w:rPr>
          <w:snapToGrid w:val="0"/>
          <w:color w:val="000000"/>
          <w:kern w:val="32"/>
          <w:szCs w:val="32"/>
        </w:rPr>
      </w:pPr>
    </w:p>
    <w:p w14:paraId="5160F77B">
      <w:pPr>
        <w:tabs>
          <w:tab w:val="left" w:pos="0"/>
        </w:tabs>
        <w:spacing w:line="560" w:lineRule="exact"/>
        <w:ind w:firstLine="646" w:firstLineChars="202"/>
        <w:rPr>
          <w:snapToGrid w:val="0"/>
          <w:color w:val="000000"/>
          <w:kern w:val="32"/>
          <w:szCs w:val="32"/>
        </w:rPr>
      </w:pPr>
      <w:r>
        <w:rPr>
          <w:rFonts w:eastAsia="方正黑体_GBK"/>
          <w:snapToGrid w:val="0"/>
          <w:color w:val="000000"/>
          <w:kern w:val="32"/>
          <w:szCs w:val="32"/>
        </w:rPr>
        <w:t>第一条</w:t>
      </w:r>
      <w:r>
        <w:rPr>
          <w:snapToGrid w:val="0"/>
          <w:color w:val="000000"/>
          <w:kern w:val="32"/>
          <w:szCs w:val="32"/>
        </w:rPr>
        <w:t xml:space="preserve"> 为进一步规范我省房屋建筑和市政基础设施工程施工招标评标活动，根据招标投标相关法律、法规、规章的规定，结合我省实际，制定本办法。</w:t>
      </w:r>
    </w:p>
    <w:p w14:paraId="3A032138">
      <w:pPr>
        <w:tabs>
          <w:tab w:val="left" w:pos="0"/>
        </w:tabs>
        <w:spacing w:line="560" w:lineRule="exact"/>
        <w:ind w:firstLine="646" w:firstLineChars="202"/>
        <w:rPr>
          <w:snapToGrid w:val="0"/>
          <w:color w:val="000000"/>
          <w:kern w:val="32"/>
          <w:szCs w:val="32"/>
        </w:rPr>
      </w:pPr>
      <w:r>
        <w:rPr>
          <w:rFonts w:eastAsia="方正黑体_GBK"/>
          <w:snapToGrid w:val="0"/>
          <w:color w:val="000000"/>
          <w:kern w:val="32"/>
          <w:szCs w:val="32"/>
        </w:rPr>
        <w:t>第二条</w:t>
      </w:r>
      <w:r>
        <w:rPr>
          <w:snapToGrid w:val="0"/>
          <w:color w:val="000000"/>
          <w:kern w:val="32"/>
          <w:szCs w:val="32"/>
        </w:rPr>
        <w:t xml:space="preserve"> 我省行政区域内，国有资金占控股或者主导地位的依法必须进行招标的施工项目的评标活动，适用本办法。</w:t>
      </w:r>
    </w:p>
    <w:p w14:paraId="0079C920">
      <w:pPr>
        <w:tabs>
          <w:tab w:val="left" w:pos="0"/>
        </w:tabs>
        <w:spacing w:line="560" w:lineRule="exact"/>
        <w:ind w:firstLine="646" w:firstLineChars="202"/>
        <w:rPr>
          <w:snapToGrid w:val="0"/>
          <w:color w:val="000000"/>
          <w:kern w:val="32"/>
          <w:szCs w:val="32"/>
        </w:rPr>
      </w:pPr>
      <w:r>
        <w:rPr>
          <w:rFonts w:eastAsia="方正黑体_GBK"/>
          <w:snapToGrid w:val="0"/>
          <w:color w:val="000000"/>
          <w:kern w:val="32"/>
          <w:szCs w:val="32"/>
        </w:rPr>
        <w:t>第三条</w:t>
      </w:r>
      <w:r>
        <w:rPr>
          <w:snapToGrid w:val="0"/>
          <w:color w:val="000000"/>
          <w:kern w:val="32"/>
          <w:szCs w:val="32"/>
        </w:rPr>
        <w:t xml:space="preserve"> 评标办法包括“综合评估法”、“经评审的最低投标价法”、“合理低价法”和法律、法规允许的其他方法。</w:t>
      </w:r>
    </w:p>
    <w:p w14:paraId="36669903">
      <w:pPr>
        <w:tabs>
          <w:tab w:val="left" w:pos="0"/>
        </w:tabs>
        <w:spacing w:line="560" w:lineRule="exact"/>
        <w:ind w:firstLine="646" w:firstLineChars="202"/>
        <w:rPr>
          <w:snapToGrid w:val="0"/>
          <w:color w:val="000000"/>
          <w:kern w:val="32"/>
          <w:szCs w:val="32"/>
        </w:rPr>
      </w:pPr>
      <w:r>
        <w:rPr>
          <w:rFonts w:eastAsia="方正黑体_GBK"/>
          <w:snapToGrid w:val="0"/>
          <w:color w:val="000000"/>
          <w:kern w:val="32"/>
          <w:szCs w:val="32"/>
        </w:rPr>
        <w:t>第四条</w:t>
      </w:r>
      <w:r>
        <w:rPr>
          <w:snapToGrid w:val="0"/>
          <w:color w:val="000000"/>
          <w:kern w:val="32"/>
          <w:szCs w:val="32"/>
        </w:rPr>
        <w:t xml:space="preserve"> 经评审的最低投标价法、合理低价法，适用于具有通用技术标准或者招标人对其技术、性能没有特殊要求的工程。</w:t>
      </w:r>
    </w:p>
    <w:p w14:paraId="64424F46">
      <w:pPr>
        <w:tabs>
          <w:tab w:val="left" w:pos="0"/>
        </w:tabs>
        <w:spacing w:line="560" w:lineRule="exact"/>
        <w:ind w:firstLine="646" w:firstLineChars="202"/>
        <w:rPr>
          <w:snapToGrid w:val="0"/>
          <w:color w:val="000000"/>
          <w:kern w:val="32"/>
          <w:szCs w:val="32"/>
        </w:rPr>
      </w:pPr>
      <w:r>
        <w:rPr>
          <w:snapToGrid w:val="0"/>
          <w:color w:val="000000"/>
          <w:kern w:val="32"/>
          <w:szCs w:val="32"/>
        </w:rPr>
        <w:t>综合评估法一般适用于技术复杂工程、特大型工程或采用“评定分离”方式招标的政府集中建设大型及以上工程。</w:t>
      </w:r>
    </w:p>
    <w:p w14:paraId="73516117">
      <w:pPr>
        <w:tabs>
          <w:tab w:val="left" w:pos="0"/>
        </w:tabs>
        <w:spacing w:line="560" w:lineRule="exact"/>
        <w:ind w:right="0" w:firstLine="646" w:firstLineChars="202"/>
        <w:rPr>
          <w:snapToGrid w:val="0"/>
          <w:color w:val="000000"/>
          <w:kern w:val="32"/>
          <w:szCs w:val="32"/>
        </w:rPr>
      </w:pPr>
      <w:r>
        <w:rPr>
          <w:rFonts w:eastAsia="方正黑体_GBK"/>
          <w:snapToGrid w:val="0"/>
          <w:color w:val="000000"/>
          <w:kern w:val="32"/>
          <w:szCs w:val="32"/>
        </w:rPr>
        <w:t>第五条</w:t>
      </w:r>
      <w:r>
        <w:rPr>
          <w:snapToGrid w:val="0"/>
          <w:color w:val="000000"/>
          <w:kern w:val="32"/>
          <w:szCs w:val="32"/>
        </w:rPr>
        <w:t xml:space="preserve"> 评标入围。招标人可以在招标文件中明确评标入围条件和评标入围方法，确定一定数量的投标人进行后续评标。</w:t>
      </w:r>
    </w:p>
    <w:p w14:paraId="5F14F8A0">
      <w:pPr>
        <w:tabs>
          <w:tab w:val="left" w:pos="0"/>
        </w:tabs>
        <w:spacing w:line="560" w:lineRule="exact"/>
        <w:ind w:right="-36" w:firstLine="646" w:firstLineChars="202"/>
        <w:rPr>
          <w:snapToGrid w:val="0"/>
          <w:color w:val="000000"/>
          <w:kern w:val="32"/>
          <w:szCs w:val="32"/>
        </w:rPr>
      </w:pPr>
      <w:r>
        <w:rPr>
          <w:snapToGrid w:val="0"/>
          <w:color w:val="000000"/>
          <w:kern w:val="32"/>
          <w:szCs w:val="32"/>
        </w:rPr>
        <w:t>（一）投标文件存在下列情况之一的，不再进行后续评标：</w:t>
      </w:r>
    </w:p>
    <w:p w14:paraId="201D71F4">
      <w:pPr>
        <w:tabs>
          <w:tab w:val="left" w:pos="0"/>
        </w:tabs>
        <w:spacing w:line="560" w:lineRule="exact"/>
        <w:ind w:right="-36" w:firstLine="806" w:firstLineChars="252"/>
        <w:rPr>
          <w:snapToGrid w:val="0"/>
          <w:color w:val="000000"/>
          <w:kern w:val="32"/>
          <w:szCs w:val="32"/>
        </w:rPr>
      </w:pPr>
      <w:r>
        <w:rPr>
          <w:snapToGrid w:val="0"/>
          <w:color w:val="000000"/>
          <w:kern w:val="32"/>
          <w:szCs w:val="32"/>
        </w:rPr>
        <w:t>1．至投标截止时间止，未足额递交投标保证金；</w:t>
      </w:r>
    </w:p>
    <w:p w14:paraId="4D9BA1BC">
      <w:pPr>
        <w:tabs>
          <w:tab w:val="left" w:pos="0"/>
        </w:tabs>
        <w:spacing w:line="560" w:lineRule="exact"/>
        <w:ind w:right="-36" w:firstLine="806" w:firstLineChars="252"/>
        <w:rPr>
          <w:snapToGrid w:val="0"/>
          <w:color w:val="000000"/>
          <w:kern w:val="32"/>
          <w:szCs w:val="32"/>
        </w:rPr>
      </w:pPr>
      <w:r>
        <w:rPr>
          <w:snapToGrid w:val="0"/>
          <w:color w:val="000000"/>
          <w:kern w:val="32"/>
          <w:szCs w:val="32"/>
        </w:rPr>
        <w:t>2．投标函中载明的招标项目完成期限超过招标文件规定的期限；</w:t>
      </w:r>
    </w:p>
    <w:p w14:paraId="2EEEA7E3">
      <w:pPr>
        <w:tabs>
          <w:tab w:val="left" w:pos="0"/>
        </w:tabs>
        <w:spacing w:line="560" w:lineRule="exact"/>
        <w:ind w:right="-36" w:firstLine="806" w:firstLineChars="252"/>
        <w:rPr>
          <w:snapToGrid w:val="0"/>
          <w:color w:val="000000"/>
          <w:kern w:val="32"/>
          <w:szCs w:val="32"/>
        </w:rPr>
      </w:pPr>
      <w:r>
        <w:rPr>
          <w:snapToGrid w:val="0"/>
          <w:color w:val="000000"/>
          <w:kern w:val="32"/>
          <w:szCs w:val="32"/>
        </w:rPr>
        <w:t>3．投标函中载明的投标质量标准未响应招标文件的实质性要求和条件；</w:t>
      </w:r>
    </w:p>
    <w:p w14:paraId="780F25B6">
      <w:pPr>
        <w:tabs>
          <w:tab w:val="left" w:pos="0"/>
        </w:tabs>
        <w:spacing w:line="560" w:lineRule="exact"/>
        <w:ind w:right="-36" w:firstLine="806" w:firstLineChars="252"/>
        <w:rPr>
          <w:snapToGrid w:val="0"/>
          <w:color w:val="000000"/>
          <w:kern w:val="32"/>
          <w:szCs w:val="32"/>
        </w:rPr>
      </w:pPr>
      <w:r>
        <w:rPr>
          <w:snapToGrid w:val="0"/>
          <w:color w:val="000000"/>
          <w:kern w:val="32"/>
          <w:szCs w:val="32"/>
        </w:rPr>
        <w:t>4．投标函中载明的投标报价高于最高投标限价的。</w:t>
      </w:r>
    </w:p>
    <w:p w14:paraId="4D54E0CF">
      <w:pPr>
        <w:tabs>
          <w:tab w:val="left" w:pos="0"/>
        </w:tabs>
        <w:spacing w:line="560" w:lineRule="exact"/>
        <w:ind w:right="-36" w:firstLine="646" w:firstLineChars="202"/>
        <w:rPr>
          <w:snapToGrid w:val="0"/>
          <w:color w:val="000000"/>
          <w:kern w:val="32"/>
          <w:szCs w:val="32"/>
        </w:rPr>
      </w:pPr>
      <w:r>
        <w:rPr>
          <w:snapToGrid w:val="0"/>
          <w:color w:val="000000"/>
          <w:kern w:val="32"/>
          <w:szCs w:val="32"/>
        </w:rPr>
        <w:t>招标人应在招标文件中载明评标入围的合格条件，并明确开标后初步评审前，由评标委员会根据招标文件载明的评标入围合格条件，确定进入后续评标或评标入围的投标文件。</w:t>
      </w:r>
    </w:p>
    <w:p w14:paraId="187FA246">
      <w:pPr>
        <w:tabs>
          <w:tab w:val="left" w:pos="0"/>
        </w:tabs>
        <w:spacing w:line="560" w:lineRule="exact"/>
        <w:ind w:right="-36" w:firstLine="646" w:firstLineChars="202"/>
        <w:rPr>
          <w:snapToGrid w:val="0"/>
          <w:color w:val="000000"/>
          <w:kern w:val="32"/>
          <w:szCs w:val="32"/>
        </w:rPr>
      </w:pPr>
      <w:r>
        <w:rPr>
          <w:snapToGrid w:val="0"/>
          <w:color w:val="000000"/>
          <w:kern w:val="32"/>
          <w:szCs w:val="32"/>
        </w:rPr>
        <w:t>（二）当满足评标入围条件的投标文件超过20家时，评标委员会根据招标文件规定的评标入围方法和数量，确定进入后续评标程序入围投标人。采用经评审的最低投标价法和合理低价法的，一般在评标入围评审后，确定评标入围的投标人；采用综合评估法的，可在初步评审结束后进入评标入围环节，确定评标入围的投标人。</w:t>
      </w:r>
    </w:p>
    <w:p w14:paraId="62E2F18B">
      <w:pPr>
        <w:tabs>
          <w:tab w:val="left" w:pos="0"/>
        </w:tabs>
        <w:spacing w:line="560" w:lineRule="exact"/>
        <w:ind w:firstLine="646" w:firstLineChars="202"/>
        <w:rPr>
          <w:snapToGrid w:val="0"/>
          <w:color w:val="000000"/>
          <w:kern w:val="32"/>
          <w:szCs w:val="32"/>
        </w:rPr>
      </w:pPr>
      <w:r>
        <w:rPr>
          <w:rFonts w:eastAsia="方正黑体_GBK"/>
          <w:snapToGrid w:val="0"/>
          <w:color w:val="000000"/>
          <w:kern w:val="32"/>
          <w:szCs w:val="32"/>
        </w:rPr>
        <w:t>第六条</w:t>
      </w:r>
      <w:r>
        <w:rPr>
          <w:snapToGrid w:val="0"/>
          <w:color w:val="000000"/>
          <w:kern w:val="32"/>
          <w:szCs w:val="32"/>
        </w:rPr>
        <w:t xml:space="preserve"> 投标文件有下列情况之一的，属于重大偏差，视为未能对招标文件作出实质性响应，应当作为无效投标予以否决：</w:t>
      </w:r>
    </w:p>
    <w:p w14:paraId="2DBFCDD4">
      <w:pPr>
        <w:tabs>
          <w:tab w:val="left" w:pos="0"/>
        </w:tabs>
        <w:spacing w:line="560" w:lineRule="exact"/>
        <w:ind w:right="-36" w:firstLine="640" w:firstLineChars="200"/>
        <w:rPr>
          <w:snapToGrid w:val="0"/>
          <w:color w:val="000000"/>
          <w:kern w:val="32"/>
          <w:szCs w:val="32"/>
        </w:rPr>
      </w:pPr>
      <w:r>
        <w:rPr>
          <w:snapToGrid w:val="0"/>
          <w:color w:val="000000"/>
          <w:kern w:val="32"/>
          <w:szCs w:val="32"/>
        </w:rPr>
        <w:t>1．投标文件中的投标函未加盖投标人的公章；</w:t>
      </w:r>
    </w:p>
    <w:p w14:paraId="15A37263">
      <w:pPr>
        <w:tabs>
          <w:tab w:val="left" w:pos="0"/>
        </w:tabs>
        <w:spacing w:line="560" w:lineRule="exact"/>
        <w:ind w:right="-36" w:firstLine="640" w:firstLineChars="200"/>
        <w:rPr>
          <w:snapToGrid w:val="0"/>
          <w:color w:val="000000"/>
          <w:kern w:val="32"/>
          <w:szCs w:val="32"/>
        </w:rPr>
      </w:pPr>
      <w:r>
        <w:rPr>
          <w:snapToGrid w:val="0"/>
          <w:color w:val="000000"/>
          <w:kern w:val="32"/>
          <w:szCs w:val="32"/>
        </w:rPr>
        <w:t>2．投标文件中的投标函未加盖企业法定代表人（或企业法定代表人委托代理人）印章（或签字）的；</w:t>
      </w:r>
    </w:p>
    <w:p w14:paraId="6E2F879E">
      <w:pPr>
        <w:tabs>
          <w:tab w:val="left" w:pos="0"/>
        </w:tabs>
        <w:spacing w:line="560" w:lineRule="exact"/>
        <w:ind w:right="-36" w:firstLine="640" w:firstLineChars="200"/>
        <w:rPr>
          <w:snapToGrid w:val="0"/>
          <w:color w:val="000000"/>
          <w:kern w:val="32"/>
          <w:szCs w:val="32"/>
        </w:rPr>
      </w:pPr>
      <w:r>
        <w:rPr>
          <w:snapToGrid w:val="0"/>
          <w:color w:val="000000"/>
          <w:kern w:val="32"/>
          <w:szCs w:val="32"/>
        </w:rPr>
        <w:t>3．投标函加盖企业法定代表人委托代理人印章（或签字），企业法定代表人委托代理人没有合法、有效的委托书（原件）的；</w:t>
      </w:r>
    </w:p>
    <w:p w14:paraId="37CA231E">
      <w:pPr>
        <w:tabs>
          <w:tab w:val="left" w:pos="0"/>
        </w:tabs>
        <w:spacing w:line="560" w:lineRule="exact"/>
        <w:ind w:right="-36" w:firstLine="640" w:firstLineChars="200"/>
        <w:rPr>
          <w:snapToGrid w:val="0"/>
          <w:color w:val="000000"/>
          <w:kern w:val="32"/>
          <w:szCs w:val="32"/>
        </w:rPr>
      </w:pPr>
      <w:r>
        <w:rPr>
          <w:snapToGrid w:val="0"/>
          <w:color w:val="000000"/>
          <w:kern w:val="32"/>
          <w:szCs w:val="32"/>
        </w:rPr>
        <w:t>4．投标人资质条件不符合国家有关规定，或者不满足招标文件规定的资格条件的；</w:t>
      </w:r>
    </w:p>
    <w:p w14:paraId="5D0397FD">
      <w:pPr>
        <w:tabs>
          <w:tab w:val="left" w:pos="0"/>
        </w:tabs>
        <w:spacing w:line="560" w:lineRule="exact"/>
        <w:ind w:right="-36" w:firstLine="640" w:firstLineChars="200"/>
        <w:rPr>
          <w:snapToGrid w:val="0"/>
          <w:color w:val="000000"/>
          <w:kern w:val="32"/>
          <w:szCs w:val="32"/>
        </w:rPr>
      </w:pPr>
      <w:r>
        <w:rPr>
          <w:snapToGrid w:val="0"/>
          <w:color w:val="000000"/>
          <w:kern w:val="32"/>
          <w:szCs w:val="32"/>
        </w:rPr>
        <w:t>5．投标人名称或组织结构与资格预审时不一致的；</w:t>
      </w:r>
    </w:p>
    <w:p w14:paraId="0E28D052">
      <w:pPr>
        <w:tabs>
          <w:tab w:val="left" w:pos="0"/>
        </w:tabs>
        <w:spacing w:line="560" w:lineRule="exact"/>
        <w:ind w:right="-36" w:firstLine="640" w:firstLineChars="200"/>
        <w:rPr>
          <w:snapToGrid w:val="0"/>
          <w:color w:val="000000"/>
          <w:kern w:val="32"/>
          <w:szCs w:val="32"/>
        </w:rPr>
      </w:pPr>
      <w:r>
        <w:rPr>
          <w:snapToGrid w:val="0"/>
          <w:color w:val="000000"/>
          <w:kern w:val="32"/>
          <w:szCs w:val="32"/>
        </w:rPr>
        <w:t>6．除在投标截止时间前经招标人书面同意外，项目负责人与资格预审时不一致的；</w:t>
      </w:r>
    </w:p>
    <w:p w14:paraId="6496A02C">
      <w:pPr>
        <w:tabs>
          <w:tab w:val="left" w:pos="0"/>
        </w:tabs>
        <w:spacing w:line="560" w:lineRule="exact"/>
        <w:ind w:right="-36" w:firstLine="640" w:firstLineChars="200"/>
        <w:rPr>
          <w:snapToGrid w:val="0"/>
          <w:color w:val="000000"/>
          <w:kern w:val="32"/>
          <w:szCs w:val="32"/>
        </w:rPr>
      </w:pPr>
      <w:r>
        <w:rPr>
          <w:snapToGrid w:val="0"/>
          <w:color w:val="000000"/>
          <w:kern w:val="32"/>
          <w:szCs w:val="32"/>
        </w:rPr>
        <w:t>7．组成联合体投标未提供联合体各方共同投标协议的；</w:t>
      </w:r>
    </w:p>
    <w:p w14:paraId="2B90FDD2">
      <w:pPr>
        <w:tabs>
          <w:tab w:val="left" w:pos="0"/>
        </w:tabs>
        <w:spacing w:line="560" w:lineRule="exact"/>
        <w:ind w:right="-36" w:firstLine="640" w:firstLineChars="200"/>
        <w:rPr>
          <w:snapToGrid w:val="0"/>
          <w:color w:val="000000"/>
          <w:kern w:val="32"/>
          <w:szCs w:val="32"/>
        </w:rPr>
      </w:pPr>
      <w:r>
        <w:rPr>
          <w:snapToGrid w:val="0"/>
          <w:color w:val="000000"/>
          <w:kern w:val="32"/>
          <w:szCs w:val="32"/>
        </w:rPr>
        <w:t>8．在同一招标项目中，联合体成员以自己名义单独投标或者参加其他联合体投标的；</w:t>
      </w:r>
    </w:p>
    <w:p w14:paraId="0E674A4E">
      <w:pPr>
        <w:tabs>
          <w:tab w:val="left" w:pos="0"/>
        </w:tabs>
        <w:spacing w:line="560" w:lineRule="exact"/>
        <w:ind w:right="-36" w:firstLine="640" w:firstLineChars="200"/>
        <w:rPr>
          <w:snapToGrid w:val="0"/>
          <w:color w:val="000000"/>
          <w:kern w:val="32"/>
          <w:szCs w:val="32"/>
        </w:rPr>
      </w:pPr>
      <w:r>
        <w:rPr>
          <w:snapToGrid w:val="0"/>
          <w:color w:val="000000"/>
          <w:kern w:val="32"/>
          <w:szCs w:val="32"/>
        </w:rPr>
        <w:t>9．联合体成员与资格预审确定的结果不一致的；</w:t>
      </w:r>
    </w:p>
    <w:p w14:paraId="3D5C7BAC">
      <w:pPr>
        <w:tabs>
          <w:tab w:val="left" w:pos="0"/>
        </w:tabs>
        <w:spacing w:line="560" w:lineRule="exact"/>
        <w:ind w:right="-36" w:firstLine="640" w:firstLineChars="200"/>
        <w:rPr>
          <w:snapToGrid w:val="0"/>
          <w:color w:val="000000"/>
          <w:kern w:val="32"/>
          <w:szCs w:val="32"/>
        </w:rPr>
      </w:pPr>
      <w:r>
        <w:rPr>
          <w:snapToGrid w:val="0"/>
          <w:color w:val="000000"/>
          <w:kern w:val="32"/>
          <w:szCs w:val="32"/>
        </w:rPr>
        <w:t>10．投标报价低于工程成本或者高于招标文件设定的最高投标限价的；</w:t>
      </w:r>
    </w:p>
    <w:p w14:paraId="3104DC4C">
      <w:pPr>
        <w:tabs>
          <w:tab w:val="left" w:pos="0"/>
        </w:tabs>
        <w:spacing w:line="560" w:lineRule="exact"/>
        <w:ind w:right="-36" w:firstLine="640" w:firstLineChars="200"/>
        <w:rPr>
          <w:snapToGrid w:val="0"/>
          <w:color w:val="000000"/>
          <w:kern w:val="32"/>
          <w:szCs w:val="32"/>
        </w:rPr>
      </w:pPr>
      <w:r>
        <w:rPr>
          <w:snapToGrid w:val="0"/>
          <w:color w:val="000000"/>
          <w:kern w:val="32"/>
          <w:szCs w:val="32"/>
        </w:rPr>
        <w:t>11．同一投标人提交两个及以上不同的投标文件或者投标报价，但招标文件要求提交备选投标的除外；</w:t>
      </w:r>
    </w:p>
    <w:p w14:paraId="07D80D39">
      <w:pPr>
        <w:tabs>
          <w:tab w:val="left" w:pos="0"/>
        </w:tabs>
        <w:spacing w:line="560" w:lineRule="exact"/>
        <w:ind w:right="-36" w:firstLine="640" w:firstLineChars="200"/>
        <w:rPr>
          <w:snapToGrid w:val="0"/>
          <w:color w:val="000000"/>
          <w:kern w:val="32"/>
          <w:szCs w:val="32"/>
        </w:rPr>
      </w:pPr>
      <w:r>
        <w:rPr>
          <w:snapToGrid w:val="0"/>
          <w:color w:val="000000"/>
          <w:kern w:val="32"/>
          <w:szCs w:val="32"/>
        </w:rPr>
        <w:t>12．投标文件中已标价工程量清单与招标文件规定的暂估价、暂列金额及甲供材料价格不一致的；</w:t>
      </w:r>
    </w:p>
    <w:p w14:paraId="11ECBF85">
      <w:pPr>
        <w:tabs>
          <w:tab w:val="left" w:pos="0"/>
        </w:tabs>
        <w:spacing w:line="560" w:lineRule="exact"/>
        <w:ind w:right="-36" w:firstLine="640" w:firstLineChars="200"/>
        <w:rPr>
          <w:snapToGrid w:val="0"/>
          <w:color w:val="000000"/>
          <w:kern w:val="32"/>
          <w:szCs w:val="32"/>
        </w:rPr>
      </w:pPr>
      <w:r>
        <w:rPr>
          <w:snapToGrid w:val="0"/>
          <w:color w:val="000000"/>
          <w:kern w:val="32"/>
          <w:szCs w:val="32"/>
        </w:rPr>
        <w:t>13．投标文件中已标价工程量清单与招标文件明确列出的不可竞争费用项目或费率或计算基础不一致的；</w:t>
      </w:r>
    </w:p>
    <w:p w14:paraId="4CDC533C">
      <w:pPr>
        <w:tabs>
          <w:tab w:val="left" w:pos="0"/>
        </w:tabs>
        <w:spacing w:line="560" w:lineRule="exact"/>
        <w:ind w:right="-36" w:firstLine="640" w:firstLineChars="200"/>
        <w:rPr>
          <w:snapToGrid w:val="0"/>
          <w:color w:val="000000"/>
          <w:kern w:val="32"/>
          <w:szCs w:val="32"/>
        </w:rPr>
      </w:pPr>
      <w:r>
        <w:rPr>
          <w:snapToGrid w:val="0"/>
          <w:color w:val="000000"/>
          <w:kern w:val="32"/>
          <w:szCs w:val="32"/>
        </w:rPr>
        <w:t>14．投标文件的已标价工程量清单与招标文件提供的工程量清单中的项目编码、项目名称、项目特征、计量单位、工程量不一致的；</w:t>
      </w:r>
    </w:p>
    <w:p w14:paraId="1F3B8F5A">
      <w:pPr>
        <w:tabs>
          <w:tab w:val="left" w:pos="0"/>
        </w:tabs>
        <w:spacing w:line="560" w:lineRule="exact"/>
        <w:ind w:right="-36" w:firstLine="640" w:firstLineChars="200"/>
        <w:rPr>
          <w:snapToGrid w:val="0"/>
          <w:color w:val="000000"/>
          <w:kern w:val="32"/>
          <w:szCs w:val="32"/>
        </w:rPr>
      </w:pPr>
      <w:r>
        <w:rPr>
          <w:snapToGrid w:val="0"/>
          <w:color w:val="000000"/>
          <w:kern w:val="32"/>
          <w:szCs w:val="32"/>
        </w:rPr>
        <w:t>15．未按招标文件要求提供投标保证金的；</w:t>
      </w:r>
    </w:p>
    <w:p w14:paraId="1A59449F">
      <w:pPr>
        <w:tabs>
          <w:tab w:val="left" w:pos="0"/>
        </w:tabs>
        <w:spacing w:line="560" w:lineRule="exact"/>
        <w:ind w:right="-36" w:firstLine="640" w:firstLineChars="200"/>
        <w:rPr>
          <w:snapToGrid w:val="0"/>
          <w:color w:val="000000"/>
          <w:kern w:val="32"/>
          <w:szCs w:val="32"/>
        </w:rPr>
      </w:pPr>
      <w:r>
        <w:rPr>
          <w:snapToGrid w:val="0"/>
          <w:color w:val="000000"/>
          <w:kern w:val="32"/>
          <w:szCs w:val="32"/>
        </w:rPr>
        <w:t>16．投标文件载明的招标项目完成期限超过招标文件规定的期限的；</w:t>
      </w:r>
    </w:p>
    <w:p w14:paraId="16172862">
      <w:pPr>
        <w:tabs>
          <w:tab w:val="left" w:pos="0"/>
        </w:tabs>
        <w:spacing w:line="560" w:lineRule="exact"/>
        <w:ind w:right="-36" w:firstLine="640" w:firstLineChars="200"/>
        <w:rPr>
          <w:snapToGrid w:val="0"/>
          <w:color w:val="000000"/>
          <w:kern w:val="32"/>
          <w:szCs w:val="32"/>
        </w:rPr>
      </w:pPr>
      <w:r>
        <w:rPr>
          <w:snapToGrid w:val="0"/>
          <w:color w:val="000000"/>
          <w:kern w:val="32"/>
          <w:szCs w:val="32"/>
        </w:rPr>
        <w:t>17．明显不符合技术规范、技术标准的要求的；</w:t>
      </w:r>
    </w:p>
    <w:p w14:paraId="27975943">
      <w:pPr>
        <w:tabs>
          <w:tab w:val="left" w:pos="0"/>
        </w:tabs>
        <w:spacing w:line="560" w:lineRule="exact"/>
        <w:ind w:right="-36" w:firstLine="640" w:firstLineChars="200"/>
        <w:rPr>
          <w:snapToGrid w:val="0"/>
          <w:color w:val="000000"/>
          <w:kern w:val="32"/>
          <w:szCs w:val="32"/>
        </w:rPr>
      </w:pPr>
      <w:r>
        <w:rPr>
          <w:snapToGrid w:val="0"/>
          <w:color w:val="000000"/>
          <w:kern w:val="32"/>
          <w:szCs w:val="32"/>
        </w:rPr>
        <w:t>18．投标文件载明的货物包装方式、检验标准和方法等不符合招标文件的要求的；</w:t>
      </w:r>
    </w:p>
    <w:p w14:paraId="29D9C45E">
      <w:pPr>
        <w:tabs>
          <w:tab w:val="left" w:pos="0"/>
        </w:tabs>
        <w:spacing w:line="560" w:lineRule="exact"/>
        <w:ind w:right="-36" w:firstLine="640" w:firstLineChars="200"/>
        <w:rPr>
          <w:snapToGrid w:val="0"/>
          <w:color w:val="000000"/>
          <w:kern w:val="32"/>
          <w:szCs w:val="32"/>
        </w:rPr>
      </w:pPr>
      <w:r>
        <w:rPr>
          <w:snapToGrid w:val="0"/>
          <w:color w:val="000000"/>
          <w:kern w:val="32"/>
          <w:szCs w:val="32"/>
        </w:rPr>
        <w:t>19．投标文件提出了不能满足招标文件要求或招标人不能接受的工程验收、计量、价款结算和支付办法的；</w:t>
      </w:r>
    </w:p>
    <w:p w14:paraId="572391FC">
      <w:pPr>
        <w:tabs>
          <w:tab w:val="left" w:pos="0"/>
        </w:tabs>
        <w:spacing w:line="560" w:lineRule="exact"/>
        <w:ind w:right="-36" w:firstLine="640" w:firstLineChars="200"/>
        <w:rPr>
          <w:snapToGrid w:val="0"/>
          <w:color w:val="000000"/>
          <w:kern w:val="32"/>
          <w:szCs w:val="32"/>
        </w:rPr>
      </w:pPr>
      <w:r>
        <w:rPr>
          <w:snapToGrid w:val="0"/>
          <w:color w:val="000000"/>
          <w:kern w:val="32"/>
          <w:szCs w:val="32"/>
        </w:rPr>
        <w:t>20．投标文件未能解密且按照招标文件明确的投标文件解密失败的补救方案补救不成功的；</w:t>
      </w:r>
    </w:p>
    <w:p w14:paraId="5C339579">
      <w:pPr>
        <w:tabs>
          <w:tab w:val="left" w:pos="0"/>
        </w:tabs>
        <w:spacing w:line="560" w:lineRule="exact"/>
        <w:ind w:right="-36" w:firstLine="640" w:firstLineChars="200"/>
        <w:rPr>
          <w:snapToGrid w:val="0"/>
          <w:color w:val="000000"/>
          <w:kern w:val="32"/>
          <w:szCs w:val="32"/>
        </w:rPr>
      </w:pPr>
      <w:r>
        <w:rPr>
          <w:snapToGrid w:val="0"/>
          <w:color w:val="000000"/>
          <w:kern w:val="32"/>
          <w:szCs w:val="32"/>
        </w:rPr>
        <w:t>21．不同投标人的投标文件以及投标文件制作过程出现了评标委员会认为不应当雷同的情况的；</w:t>
      </w:r>
    </w:p>
    <w:p w14:paraId="4D21643A">
      <w:pPr>
        <w:tabs>
          <w:tab w:val="left" w:pos="0"/>
        </w:tabs>
        <w:spacing w:line="560" w:lineRule="exact"/>
        <w:ind w:right="-36" w:firstLine="640" w:firstLineChars="200"/>
        <w:rPr>
          <w:snapToGrid w:val="0"/>
          <w:color w:val="000000"/>
          <w:kern w:val="32"/>
          <w:szCs w:val="32"/>
        </w:rPr>
      </w:pPr>
      <w:r>
        <w:rPr>
          <w:snapToGrid w:val="0"/>
          <w:color w:val="000000"/>
          <w:kern w:val="32"/>
          <w:szCs w:val="32"/>
        </w:rPr>
        <w:t>22．以他人的名义投标、串通投标、以行贿手段谋取中标或者以其他弄虚作假方式投标的；</w:t>
      </w:r>
    </w:p>
    <w:p w14:paraId="063F2917">
      <w:pPr>
        <w:tabs>
          <w:tab w:val="left" w:pos="0"/>
        </w:tabs>
        <w:spacing w:line="560" w:lineRule="exact"/>
        <w:ind w:right="-36" w:firstLine="640" w:firstLineChars="200"/>
        <w:rPr>
          <w:snapToGrid w:val="0"/>
          <w:color w:val="000000"/>
          <w:kern w:val="32"/>
          <w:szCs w:val="32"/>
        </w:rPr>
      </w:pPr>
      <w:r>
        <w:rPr>
          <w:snapToGrid w:val="0"/>
          <w:color w:val="000000"/>
          <w:kern w:val="32"/>
          <w:szCs w:val="32"/>
        </w:rPr>
        <w:t>23．施工组织设计（施工方案）存在明显技术方案错误、或者不符合招标文件有关暗标要求的；</w:t>
      </w:r>
    </w:p>
    <w:p w14:paraId="3504C9D2">
      <w:pPr>
        <w:tabs>
          <w:tab w:val="left" w:pos="0"/>
        </w:tabs>
        <w:spacing w:line="560" w:lineRule="exact"/>
        <w:ind w:right="-36" w:firstLine="640" w:firstLineChars="200"/>
        <w:rPr>
          <w:snapToGrid w:val="0"/>
          <w:color w:val="000000"/>
          <w:kern w:val="32"/>
          <w:szCs w:val="32"/>
        </w:rPr>
      </w:pPr>
      <w:r>
        <w:rPr>
          <w:snapToGrid w:val="0"/>
          <w:color w:val="000000"/>
          <w:kern w:val="32"/>
          <w:szCs w:val="32"/>
        </w:rPr>
        <w:t>24．投标文件关键内容模糊、无法辨认的。</w:t>
      </w:r>
    </w:p>
    <w:p w14:paraId="560180DA">
      <w:pPr>
        <w:tabs>
          <w:tab w:val="left" w:pos="0"/>
        </w:tabs>
        <w:spacing w:line="560" w:lineRule="exact"/>
        <w:ind w:right="-36" w:firstLine="640" w:firstLineChars="200"/>
        <w:rPr>
          <w:snapToGrid w:val="0"/>
          <w:color w:val="000000"/>
          <w:kern w:val="32"/>
          <w:szCs w:val="32"/>
        </w:rPr>
      </w:pPr>
      <w:r>
        <w:rPr>
          <w:snapToGrid w:val="0"/>
          <w:color w:val="000000"/>
          <w:kern w:val="32"/>
          <w:szCs w:val="32"/>
        </w:rPr>
        <w:t>招标文件中的重大偏差条款应当意思表示明确、易于判断，不得含有“实质性不响应招标文件要求”“投标文件中附有招标人不可接受的条件”等评标委员会难以界定的条款。</w:t>
      </w:r>
    </w:p>
    <w:p w14:paraId="7A6AA787">
      <w:pPr>
        <w:tabs>
          <w:tab w:val="left" w:pos="0"/>
        </w:tabs>
        <w:spacing w:line="560" w:lineRule="exact"/>
        <w:ind w:right="-36" w:firstLine="646" w:firstLineChars="202"/>
        <w:rPr>
          <w:snapToGrid w:val="0"/>
          <w:color w:val="000000"/>
          <w:kern w:val="32"/>
          <w:szCs w:val="32"/>
        </w:rPr>
      </w:pPr>
      <w:r>
        <w:rPr>
          <w:rFonts w:eastAsia="方正黑体_GBK"/>
          <w:snapToGrid w:val="0"/>
          <w:color w:val="000000"/>
          <w:kern w:val="32"/>
          <w:szCs w:val="32"/>
        </w:rPr>
        <w:t>第七条</w:t>
      </w:r>
      <w:r>
        <w:rPr>
          <w:snapToGrid w:val="0"/>
          <w:color w:val="000000"/>
          <w:kern w:val="32"/>
          <w:szCs w:val="32"/>
        </w:rPr>
        <w:t xml:space="preserve"> 技术标评审。评标委员会应根据招标文件明确的评审要点、评审办法及相应要求，对施工组织设计进行独立评审。</w:t>
      </w:r>
    </w:p>
    <w:p w14:paraId="5D4EB6CE">
      <w:pPr>
        <w:tabs>
          <w:tab w:val="left" w:pos="0"/>
        </w:tabs>
        <w:spacing w:line="560" w:lineRule="exact"/>
        <w:ind w:right="-36" w:firstLine="646" w:firstLineChars="202"/>
        <w:rPr>
          <w:snapToGrid w:val="0"/>
          <w:color w:val="000000"/>
          <w:kern w:val="32"/>
          <w:szCs w:val="32"/>
        </w:rPr>
      </w:pPr>
      <w:r>
        <w:rPr>
          <w:snapToGrid w:val="0"/>
          <w:color w:val="000000"/>
          <w:kern w:val="32"/>
          <w:szCs w:val="32"/>
        </w:rPr>
        <w:t>（一）施工组织设计的评审分为合格制和打分制。</w:t>
      </w:r>
    </w:p>
    <w:p w14:paraId="0F9BEF59">
      <w:pPr>
        <w:tabs>
          <w:tab w:val="left" w:pos="0"/>
        </w:tabs>
        <w:spacing w:line="560" w:lineRule="exact"/>
        <w:ind w:right="-36" w:firstLine="806" w:firstLineChars="252"/>
        <w:rPr>
          <w:snapToGrid w:val="0"/>
          <w:color w:val="000000"/>
          <w:kern w:val="32"/>
          <w:szCs w:val="32"/>
        </w:rPr>
      </w:pPr>
      <w:r>
        <w:rPr>
          <w:snapToGrid w:val="0"/>
          <w:color w:val="000000"/>
          <w:kern w:val="32"/>
          <w:szCs w:val="32"/>
        </w:rPr>
        <w:t>1．合格制。仅对施工组织设计是否满足招标项目要求进行定性判断是否合格，不合格的作无效投标处理。一般适用于经评审的最低投标价法。</w:t>
      </w:r>
    </w:p>
    <w:p w14:paraId="5EC9880F">
      <w:pPr>
        <w:tabs>
          <w:tab w:val="left" w:pos="0"/>
        </w:tabs>
        <w:spacing w:line="560" w:lineRule="exact"/>
        <w:ind w:right="-36" w:firstLine="806" w:firstLineChars="252"/>
        <w:rPr>
          <w:snapToGrid w:val="0"/>
          <w:color w:val="000000"/>
          <w:kern w:val="32"/>
          <w:szCs w:val="32"/>
        </w:rPr>
      </w:pPr>
      <w:r>
        <w:rPr>
          <w:snapToGrid w:val="0"/>
          <w:color w:val="000000"/>
          <w:kern w:val="32"/>
          <w:szCs w:val="32"/>
        </w:rPr>
        <w:t>2．打分制。由评标委员会对各投标人的施工组织设计进行打分，汇总后作为相应投标人施工组织设计得分。一般适用于综合评估法。</w:t>
      </w:r>
    </w:p>
    <w:p w14:paraId="654504C2">
      <w:pPr>
        <w:tabs>
          <w:tab w:val="left" w:pos="0"/>
        </w:tabs>
        <w:spacing w:line="560" w:lineRule="exact"/>
        <w:ind w:right="-36" w:firstLine="646" w:firstLineChars="202"/>
        <w:rPr>
          <w:snapToGrid w:val="0"/>
          <w:color w:val="000000"/>
          <w:kern w:val="32"/>
          <w:szCs w:val="32"/>
        </w:rPr>
      </w:pPr>
      <w:r>
        <w:rPr>
          <w:snapToGrid w:val="0"/>
          <w:color w:val="000000"/>
          <w:kern w:val="32"/>
          <w:szCs w:val="32"/>
        </w:rPr>
        <w:t>施工组织设计各评分点得分应当取所有技术标评委评分中分别去掉一个最高和最低评分后的平均值为最终得分。施工组织设计中除缺少相应内容的评审要点不得分外，其它各项评审要点得分</w:t>
      </w:r>
      <w:r>
        <w:rPr>
          <w:snapToGrid w:val="0"/>
          <w:color w:val="000000"/>
          <w:kern w:val="32"/>
          <w:szCs w:val="32"/>
          <w:highlight w:val="lightGray"/>
        </w:rPr>
        <w:t>不应低于该评审要点满分的70%。</w:t>
      </w:r>
    </w:p>
    <w:p w14:paraId="4E32B32B">
      <w:pPr>
        <w:tabs>
          <w:tab w:val="left" w:pos="0"/>
        </w:tabs>
        <w:spacing w:line="560" w:lineRule="exact"/>
        <w:ind w:right="-36" w:firstLine="646" w:firstLineChars="202"/>
        <w:rPr>
          <w:snapToGrid w:val="0"/>
          <w:color w:val="000000"/>
          <w:kern w:val="32"/>
          <w:szCs w:val="32"/>
        </w:rPr>
      </w:pPr>
      <w:r>
        <w:rPr>
          <w:snapToGrid w:val="0"/>
          <w:color w:val="000000"/>
          <w:kern w:val="32"/>
          <w:szCs w:val="32"/>
        </w:rPr>
        <w:t>（二）招标人应根据招标项目实际，在招标文件中明确招标中施工组织设计评审要点，主要包括：</w:t>
      </w:r>
    </w:p>
    <w:p w14:paraId="517AD449">
      <w:pPr>
        <w:tabs>
          <w:tab w:val="left" w:pos="0"/>
        </w:tabs>
        <w:spacing w:line="560" w:lineRule="exact"/>
        <w:ind w:right="-36" w:firstLine="809" w:firstLineChars="253"/>
        <w:rPr>
          <w:snapToGrid w:val="0"/>
          <w:color w:val="000000"/>
          <w:kern w:val="32"/>
          <w:szCs w:val="32"/>
        </w:rPr>
      </w:pPr>
      <w:r>
        <w:rPr>
          <w:snapToGrid w:val="0"/>
          <w:color w:val="000000"/>
          <w:kern w:val="32"/>
          <w:szCs w:val="32"/>
        </w:rPr>
        <w:t>1．总体概述：施工组织总体设想、方案针对性及施工标段划分（建议页数2-5页）；</w:t>
      </w:r>
    </w:p>
    <w:p w14:paraId="20E9E893">
      <w:pPr>
        <w:tabs>
          <w:tab w:val="left" w:pos="0"/>
        </w:tabs>
        <w:spacing w:line="560" w:lineRule="exact"/>
        <w:ind w:right="-36" w:firstLine="809" w:firstLineChars="253"/>
        <w:rPr>
          <w:snapToGrid w:val="0"/>
          <w:color w:val="000000"/>
          <w:kern w:val="32"/>
          <w:szCs w:val="32"/>
        </w:rPr>
      </w:pPr>
      <w:r>
        <w:rPr>
          <w:snapToGrid w:val="0"/>
          <w:color w:val="000000"/>
          <w:kern w:val="32"/>
          <w:szCs w:val="32"/>
        </w:rPr>
        <w:t>2．施工现场平面布置和临时设施、临时道路布置（建议页数2-4页）；</w:t>
      </w:r>
    </w:p>
    <w:p w14:paraId="5563CDD2">
      <w:pPr>
        <w:tabs>
          <w:tab w:val="left" w:pos="0"/>
        </w:tabs>
        <w:spacing w:line="560" w:lineRule="exact"/>
        <w:ind w:right="-36" w:firstLine="809" w:firstLineChars="253"/>
        <w:rPr>
          <w:snapToGrid w:val="0"/>
          <w:color w:val="000000"/>
          <w:kern w:val="32"/>
          <w:szCs w:val="32"/>
        </w:rPr>
      </w:pPr>
      <w:r>
        <w:rPr>
          <w:snapToGrid w:val="0"/>
          <w:color w:val="000000"/>
          <w:kern w:val="32"/>
          <w:szCs w:val="32"/>
        </w:rPr>
        <w:t>3．施工进度计划和各阶段进度的保证措施（建议页数5-10页）；</w:t>
      </w:r>
    </w:p>
    <w:p w14:paraId="2CF3A83F">
      <w:pPr>
        <w:tabs>
          <w:tab w:val="left" w:pos="0"/>
        </w:tabs>
        <w:spacing w:line="560" w:lineRule="exact"/>
        <w:ind w:right="-36" w:firstLine="809" w:firstLineChars="253"/>
        <w:rPr>
          <w:snapToGrid w:val="0"/>
          <w:color w:val="000000"/>
          <w:kern w:val="32"/>
          <w:szCs w:val="32"/>
        </w:rPr>
      </w:pPr>
      <w:r>
        <w:rPr>
          <w:snapToGrid w:val="0"/>
          <w:color w:val="000000"/>
          <w:kern w:val="32"/>
          <w:szCs w:val="32"/>
        </w:rPr>
        <w:t>4．施工过程各阶段质量安全的保证措施。</w:t>
      </w:r>
    </w:p>
    <w:p w14:paraId="7E8A9EC5">
      <w:pPr>
        <w:tabs>
          <w:tab w:val="left" w:pos="0"/>
        </w:tabs>
        <w:spacing w:line="560" w:lineRule="exact"/>
        <w:ind w:right="-36" w:firstLine="809" w:firstLineChars="253"/>
        <w:rPr>
          <w:snapToGrid w:val="0"/>
          <w:color w:val="000000"/>
          <w:kern w:val="32"/>
          <w:szCs w:val="32"/>
        </w:rPr>
      </w:pPr>
      <w:r>
        <w:rPr>
          <w:snapToGrid w:val="0"/>
          <w:color w:val="000000"/>
          <w:kern w:val="32"/>
          <w:szCs w:val="32"/>
        </w:rPr>
        <w:t>5.劳动力、机械设备和材料投入计划（建议页数6-12页）；</w:t>
      </w:r>
    </w:p>
    <w:p w14:paraId="3E2EC993">
      <w:pPr>
        <w:tabs>
          <w:tab w:val="left" w:pos="0"/>
        </w:tabs>
        <w:spacing w:line="560" w:lineRule="exact"/>
        <w:ind w:right="-36" w:firstLine="809" w:firstLineChars="253"/>
        <w:rPr>
          <w:snapToGrid w:val="0"/>
          <w:color w:val="000000"/>
          <w:kern w:val="32"/>
          <w:szCs w:val="32"/>
        </w:rPr>
      </w:pPr>
      <w:r>
        <w:rPr>
          <w:snapToGrid w:val="0"/>
          <w:color w:val="000000"/>
          <w:kern w:val="32"/>
          <w:szCs w:val="32"/>
        </w:rPr>
        <w:t>6．关键施工技术、工艺及工程项目实施的重点、难点和解决方案（建议页数15-28页）；</w:t>
      </w:r>
    </w:p>
    <w:p w14:paraId="0A714E98">
      <w:pPr>
        <w:tabs>
          <w:tab w:val="left" w:pos="0"/>
        </w:tabs>
        <w:spacing w:line="560" w:lineRule="exact"/>
        <w:ind w:right="-36" w:firstLine="809" w:firstLineChars="253"/>
        <w:rPr>
          <w:snapToGrid w:val="0"/>
          <w:color w:val="000000"/>
          <w:kern w:val="32"/>
          <w:szCs w:val="32"/>
        </w:rPr>
      </w:pPr>
      <w:r>
        <w:rPr>
          <w:snapToGrid w:val="0"/>
          <w:color w:val="000000"/>
          <w:kern w:val="32"/>
          <w:szCs w:val="32"/>
        </w:rPr>
        <w:t>7．新技术、新产品、新工艺、新材料应用（建议页数6-15页）；</w:t>
      </w:r>
    </w:p>
    <w:p w14:paraId="13308938">
      <w:pPr>
        <w:tabs>
          <w:tab w:val="left" w:pos="0"/>
        </w:tabs>
        <w:spacing w:line="560" w:lineRule="exact"/>
        <w:ind w:right="-36" w:firstLine="809" w:firstLineChars="253"/>
        <w:rPr>
          <w:snapToGrid w:val="0"/>
          <w:color w:val="000000"/>
          <w:kern w:val="32"/>
          <w:szCs w:val="32"/>
        </w:rPr>
      </w:pPr>
      <w:r>
        <w:rPr>
          <w:snapToGrid w:val="0"/>
          <w:color w:val="000000"/>
          <w:kern w:val="32"/>
          <w:szCs w:val="32"/>
        </w:rPr>
        <w:t>8．BIM等信息技术的使用；</w:t>
      </w:r>
    </w:p>
    <w:p w14:paraId="61666066">
      <w:pPr>
        <w:tabs>
          <w:tab w:val="left" w:pos="0"/>
        </w:tabs>
        <w:spacing w:line="560" w:lineRule="exact"/>
        <w:ind w:right="-36" w:firstLine="809" w:firstLineChars="253"/>
        <w:rPr>
          <w:snapToGrid w:val="0"/>
          <w:color w:val="000000"/>
          <w:kern w:val="32"/>
          <w:szCs w:val="32"/>
        </w:rPr>
      </w:pPr>
      <w:r>
        <w:rPr>
          <w:snapToGrid w:val="0"/>
          <w:color w:val="000000"/>
          <w:kern w:val="32"/>
          <w:szCs w:val="32"/>
        </w:rPr>
        <w:t>9．项目负责人陈述及答辩。</w:t>
      </w:r>
    </w:p>
    <w:p w14:paraId="6489399A">
      <w:pPr>
        <w:tabs>
          <w:tab w:val="left" w:pos="0"/>
        </w:tabs>
        <w:spacing w:line="560" w:lineRule="exact"/>
        <w:ind w:right="-36" w:firstLine="646" w:firstLineChars="202"/>
        <w:rPr>
          <w:snapToGrid w:val="0"/>
          <w:color w:val="000000"/>
          <w:kern w:val="32"/>
          <w:szCs w:val="32"/>
        </w:rPr>
      </w:pPr>
      <w:r>
        <w:rPr>
          <w:snapToGrid w:val="0"/>
          <w:color w:val="000000"/>
          <w:kern w:val="32"/>
          <w:szCs w:val="32"/>
        </w:rPr>
        <w:t>其中评审要点6至8项由招标人根据工程项目的实际情况在招标文件中明确。施工组织设计总篇幅一般不超过80页（技术特别复杂的工程可适当增加），具体篇幅(字数)要求及扣分标准，招标人应在招标文件中明确。</w:t>
      </w:r>
    </w:p>
    <w:p w14:paraId="77EDF993">
      <w:pPr>
        <w:tabs>
          <w:tab w:val="left" w:pos="0"/>
        </w:tabs>
        <w:spacing w:line="560" w:lineRule="exact"/>
        <w:ind w:right="-36" w:firstLine="646" w:firstLineChars="202"/>
        <w:rPr>
          <w:snapToGrid w:val="0"/>
          <w:color w:val="000000"/>
          <w:kern w:val="32"/>
          <w:szCs w:val="32"/>
        </w:rPr>
      </w:pPr>
      <w:r>
        <w:rPr>
          <w:snapToGrid w:val="0"/>
          <w:color w:val="000000"/>
          <w:kern w:val="32"/>
          <w:szCs w:val="32"/>
        </w:rPr>
        <w:t>（三）采用合理低价法招标的工程不得要求编制施工组织设计；采用经评审的最低投标价评标法，招标人要求投标人编制施工组织设计的，应在招标文件中明确。</w:t>
      </w:r>
    </w:p>
    <w:p w14:paraId="58695054">
      <w:pPr>
        <w:tabs>
          <w:tab w:val="left" w:pos="0"/>
        </w:tabs>
        <w:spacing w:line="560" w:lineRule="exact"/>
        <w:ind w:right="-36" w:firstLine="646" w:firstLineChars="202"/>
        <w:rPr>
          <w:snapToGrid w:val="0"/>
          <w:color w:val="000000"/>
          <w:kern w:val="32"/>
          <w:szCs w:val="32"/>
        </w:rPr>
      </w:pPr>
      <w:r>
        <w:rPr>
          <w:rFonts w:eastAsia="方正黑体_GBK"/>
          <w:snapToGrid w:val="0"/>
          <w:color w:val="000000"/>
          <w:kern w:val="32"/>
          <w:szCs w:val="32"/>
        </w:rPr>
        <w:t>第八条</w:t>
      </w:r>
      <w:r>
        <w:rPr>
          <w:snapToGrid w:val="0"/>
          <w:color w:val="000000"/>
          <w:kern w:val="32"/>
          <w:szCs w:val="32"/>
        </w:rPr>
        <w:t xml:space="preserve"> 采用综合评估法的，评标委员会应当按照招标文件规定的各项因素进行综合评审。其评审因素和标准如下：</w:t>
      </w:r>
    </w:p>
    <w:p w14:paraId="6876DC2F">
      <w:pPr>
        <w:tabs>
          <w:tab w:val="left" w:pos="0"/>
        </w:tabs>
        <w:spacing w:line="560" w:lineRule="exact"/>
        <w:ind w:firstLine="646" w:firstLineChars="202"/>
        <w:rPr>
          <w:snapToGrid w:val="0"/>
          <w:color w:val="000000"/>
          <w:kern w:val="32"/>
          <w:szCs w:val="32"/>
        </w:rPr>
      </w:pPr>
      <w:r>
        <w:rPr>
          <w:snapToGrid w:val="0"/>
          <w:color w:val="000000"/>
          <w:kern w:val="32"/>
          <w:szCs w:val="32"/>
        </w:rPr>
        <w:t>（一）</w:t>
      </w:r>
      <w:r>
        <w:rPr>
          <w:snapToGrid w:val="0"/>
          <w:color w:val="000000"/>
          <w:kern w:val="32"/>
          <w:szCs w:val="32"/>
          <w:highlight w:val="lightGray"/>
        </w:rPr>
        <w:t>投标报价评审（</w:t>
      </w:r>
      <w:r>
        <w:rPr>
          <w:rFonts w:hint="default"/>
          <w:snapToGrid w:val="0"/>
          <w:color w:val="000000"/>
          <w:kern w:val="32"/>
          <w:szCs w:val="32"/>
          <w:highlight w:val="lightGray"/>
        </w:rPr>
        <w:t>≥</w:t>
      </w:r>
      <w:r>
        <w:rPr>
          <w:snapToGrid w:val="0"/>
          <w:color w:val="000000"/>
          <w:kern w:val="32"/>
          <w:szCs w:val="32"/>
          <w:highlight w:val="lightGray"/>
        </w:rPr>
        <w:t>79分）</w:t>
      </w:r>
    </w:p>
    <w:p w14:paraId="39AE97A0">
      <w:pPr>
        <w:tabs>
          <w:tab w:val="left" w:pos="0"/>
        </w:tabs>
        <w:spacing w:line="560" w:lineRule="exact"/>
        <w:ind w:firstLine="646" w:firstLineChars="202"/>
        <w:rPr>
          <w:snapToGrid w:val="0"/>
          <w:color w:val="000000"/>
          <w:kern w:val="32"/>
          <w:szCs w:val="32"/>
        </w:rPr>
      </w:pPr>
      <w:r>
        <w:rPr>
          <w:snapToGrid w:val="0"/>
          <w:color w:val="000000"/>
          <w:kern w:val="32"/>
          <w:szCs w:val="32"/>
        </w:rPr>
        <w:t>特大型工程且技术复杂的工程，投标报价评审应大于等于79分；特大型及以上工程、技术复杂工程或采用“评定分离”方式招标的政府集中建设大型及以上工程，投标报价评审应大于等于81分。评标委员会应根据招标文件中明确的投标报价评审方法和评分细则对进入详细评审投标报价进行评审、打分。</w:t>
      </w:r>
    </w:p>
    <w:p w14:paraId="6E71EF72">
      <w:pPr>
        <w:tabs>
          <w:tab w:val="left" w:pos="0"/>
        </w:tabs>
        <w:spacing w:line="560" w:lineRule="exact"/>
        <w:ind w:firstLine="646" w:firstLineChars="202"/>
        <w:rPr>
          <w:snapToGrid w:val="0"/>
          <w:color w:val="000000"/>
          <w:kern w:val="32"/>
          <w:szCs w:val="32"/>
        </w:rPr>
      </w:pPr>
      <w:r>
        <w:rPr>
          <w:snapToGrid w:val="0"/>
          <w:color w:val="000000"/>
          <w:kern w:val="32"/>
          <w:szCs w:val="32"/>
        </w:rPr>
        <w:t>（二）</w:t>
      </w:r>
      <w:r>
        <w:rPr>
          <w:snapToGrid w:val="0"/>
          <w:color w:val="000000"/>
          <w:kern w:val="32"/>
          <w:szCs w:val="32"/>
          <w:highlight w:val="lightGray"/>
        </w:rPr>
        <w:t>施工组织设计（</w:t>
      </w:r>
      <w:r>
        <w:rPr>
          <w:rFonts w:hint="default"/>
          <w:snapToGrid w:val="0"/>
          <w:color w:val="000000"/>
          <w:kern w:val="32"/>
          <w:szCs w:val="32"/>
          <w:highlight w:val="lightGray"/>
        </w:rPr>
        <w:t>≤</w:t>
      </w:r>
      <w:r>
        <w:rPr>
          <w:snapToGrid w:val="0"/>
          <w:color w:val="000000"/>
          <w:kern w:val="32"/>
          <w:szCs w:val="32"/>
          <w:highlight w:val="lightGray"/>
        </w:rPr>
        <w:t>18分）</w:t>
      </w:r>
    </w:p>
    <w:p w14:paraId="63EDDE7B">
      <w:pPr>
        <w:tabs>
          <w:tab w:val="left" w:pos="0"/>
        </w:tabs>
        <w:spacing w:line="560" w:lineRule="exact"/>
        <w:ind w:right="-36" w:firstLine="646" w:firstLineChars="202"/>
        <w:rPr>
          <w:snapToGrid w:val="0"/>
          <w:color w:val="000000"/>
          <w:kern w:val="32"/>
          <w:szCs w:val="32"/>
        </w:rPr>
      </w:pPr>
      <w:r>
        <w:rPr>
          <w:snapToGrid w:val="0"/>
          <w:color w:val="000000"/>
          <w:kern w:val="32"/>
          <w:szCs w:val="32"/>
        </w:rPr>
        <w:t>特大型工程且技术复杂的工程，施工组织设计应小于等于18分；特大型及以上工程、技术复杂工程或采用“评定分离”方式招标的政府集中建设大型及以上工程，施工组织设计应小于等于16分。施工组织设计的评审标准和方法见第七条。招标文件中要求投标项目负责人陈述及答辩的，该项评分分值不得超过 2 分。</w:t>
      </w:r>
    </w:p>
    <w:p w14:paraId="412DE3B0">
      <w:pPr>
        <w:tabs>
          <w:tab w:val="left" w:pos="0"/>
        </w:tabs>
        <w:spacing w:line="560" w:lineRule="exact"/>
        <w:ind w:firstLine="646" w:firstLineChars="202"/>
        <w:rPr>
          <w:snapToGrid w:val="0"/>
          <w:color w:val="000000"/>
          <w:kern w:val="32"/>
          <w:szCs w:val="32"/>
        </w:rPr>
      </w:pPr>
      <w:r>
        <w:rPr>
          <w:snapToGrid w:val="0"/>
          <w:color w:val="000000"/>
          <w:kern w:val="32"/>
          <w:szCs w:val="32"/>
        </w:rPr>
        <w:t>（三）</w:t>
      </w:r>
      <w:r>
        <w:rPr>
          <w:snapToGrid w:val="0"/>
          <w:color w:val="000000"/>
          <w:kern w:val="32"/>
          <w:szCs w:val="32"/>
          <w:highlight w:val="lightGray"/>
        </w:rPr>
        <w:t>投标人业绩 （</w:t>
      </w:r>
      <w:r>
        <w:rPr>
          <w:rFonts w:hint="default"/>
          <w:snapToGrid w:val="0"/>
          <w:color w:val="000000"/>
          <w:kern w:val="32"/>
          <w:szCs w:val="32"/>
          <w:highlight w:val="lightGray"/>
        </w:rPr>
        <w:t>≤</w:t>
      </w:r>
      <w:r>
        <w:rPr>
          <w:snapToGrid w:val="0"/>
          <w:color w:val="000000"/>
          <w:kern w:val="32"/>
          <w:szCs w:val="32"/>
          <w:highlight w:val="lightGray"/>
        </w:rPr>
        <w:t>2分）</w:t>
      </w:r>
    </w:p>
    <w:p w14:paraId="27914FBF">
      <w:pPr>
        <w:tabs>
          <w:tab w:val="left" w:pos="0"/>
        </w:tabs>
        <w:spacing w:line="560" w:lineRule="exact"/>
        <w:ind w:right="-36" w:firstLine="646" w:firstLineChars="202"/>
        <w:rPr>
          <w:snapToGrid w:val="0"/>
          <w:color w:val="000000"/>
          <w:kern w:val="32"/>
          <w:szCs w:val="32"/>
        </w:rPr>
      </w:pPr>
      <w:r>
        <w:rPr>
          <w:snapToGrid w:val="0"/>
          <w:color w:val="000000"/>
          <w:kern w:val="32"/>
          <w:szCs w:val="32"/>
        </w:rPr>
        <w:t>招标人可以对投标企业或项目负责人承担过类似及以上工程进行加分，招标文件中应当明确投标企业或者项目负责人承担过单个类似及以上工程的分值。</w:t>
      </w:r>
    </w:p>
    <w:p w14:paraId="518EFCB1">
      <w:pPr>
        <w:tabs>
          <w:tab w:val="left" w:pos="0"/>
        </w:tabs>
        <w:spacing w:line="560" w:lineRule="exact"/>
        <w:ind w:firstLine="646" w:firstLineChars="202"/>
        <w:rPr>
          <w:snapToGrid w:val="0"/>
          <w:color w:val="000000"/>
          <w:kern w:val="32"/>
          <w:szCs w:val="32"/>
        </w:rPr>
      </w:pPr>
      <w:r>
        <w:rPr>
          <w:snapToGrid w:val="0"/>
          <w:color w:val="000000"/>
          <w:kern w:val="32"/>
          <w:szCs w:val="32"/>
        </w:rPr>
        <w:t>（四）</w:t>
      </w:r>
      <w:r>
        <w:rPr>
          <w:snapToGrid w:val="0"/>
          <w:color w:val="000000"/>
          <w:kern w:val="32"/>
          <w:szCs w:val="32"/>
          <w:highlight w:val="lightGray"/>
        </w:rPr>
        <w:t>投标报价合理性（</w:t>
      </w:r>
      <w:r>
        <w:rPr>
          <w:rFonts w:hint="default"/>
          <w:snapToGrid w:val="0"/>
          <w:color w:val="000000"/>
          <w:kern w:val="32"/>
          <w:szCs w:val="32"/>
          <w:highlight w:val="lightGray"/>
        </w:rPr>
        <w:t>≤</w:t>
      </w:r>
      <w:r>
        <w:rPr>
          <w:snapToGrid w:val="0"/>
          <w:color w:val="000000"/>
          <w:kern w:val="32"/>
          <w:szCs w:val="32"/>
          <w:highlight w:val="lightGray"/>
        </w:rPr>
        <w:t>1 分）</w:t>
      </w:r>
    </w:p>
    <w:p w14:paraId="23C0A2F7">
      <w:pPr>
        <w:tabs>
          <w:tab w:val="left" w:pos="0"/>
        </w:tabs>
        <w:spacing w:line="560" w:lineRule="exact"/>
        <w:ind w:right="-36" w:firstLine="646" w:firstLineChars="202"/>
        <w:rPr>
          <w:snapToGrid w:val="0"/>
          <w:color w:val="000000"/>
          <w:kern w:val="32"/>
          <w:szCs w:val="32"/>
        </w:rPr>
      </w:pPr>
      <w:r>
        <w:rPr>
          <w:snapToGrid w:val="0"/>
          <w:color w:val="000000"/>
          <w:kern w:val="32"/>
          <w:szCs w:val="32"/>
        </w:rPr>
        <w:t>投标报价合理性评审方法如下：</w:t>
      </w:r>
    </w:p>
    <w:p w14:paraId="3A555A3D">
      <w:pPr>
        <w:tabs>
          <w:tab w:val="left" w:pos="0"/>
        </w:tabs>
        <w:spacing w:line="560" w:lineRule="exact"/>
        <w:ind w:right="-36" w:firstLine="806" w:firstLineChars="252"/>
        <w:rPr>
          <w:snapToGrid w:val="0"/>
          <w:color w:val="000000"/>
          <w:kern w:val="32"/>
          <w:szCs w:val="32"/>
        </w:rPr>
      </w:pPr>
      <w:r>
        <w:rPr>
          <w:snapToGrid w:val="0"/>
          <w:color w:val="000000"/>
          <w:kern w:val="32"/>
          <w:szCs w:val="32"/>
        </w:rPr>
        <w:t>1．报价合理性分析基准值的确定。最高投标限价各子目综合单价下浮一定比率后〔下浮比率：建筑工程一般下浮6～10%，安装、装饰及幕墙工程6～16%，桩基和基坑支护工程7－16%，市政工程7～18%，园林绿化工程7～20%，其他工程6～12%。各市、县（市、区）建设主管部门可以根据当地情况对上述下浮比率作适当动态调整〕乘以权重系数（50%及以上），加所有通过评标入围的投标报价中相应子目综合单价的算术平均值（剔除超过最高投标限价中相应价格正负20%的综合单价）乘以权重系数（50%及以下），确定报价合理性分析基准价。</w:t>
      </w:r>
    </w:p>
    <w:p w14:paraId="0467467D">
      <w:pPr>
        <w:tabs>
          <w:tab w:val="left" w:pos="0"/>
        </w:tabs>
        <w:spacing w:line="560" w:lineRule="exact"/>
        <w:ind w:right="-36" w:firstLine="806" w:firstLineChars="252"/>
        <w:rPr>
          <w:snapToGrid w:val="0"/>
          <w:color w:val="000000"/>
          <w:kern w:val="32"/>
          <w:szCs w:val="32"/>
        </w:rPr>
      </w:pPr>
      <w:r>
        <w:rPr>
          <w:snapToGrid w:val="0"/>
          <w:color w:val="000000"/>
          <w:kern w:val="32"/>
          <w:szCs w:val="32"/>
        </w:rPr>
        <w:t>2．将投标文件中工程量清单相应子目的综合单价金额与报价合理性分析基准值进行比较，其偏差率的绝对值&gt;10%且该子目的合价金额超过该投标文件的评标价一定幅度 (一般为评标价的0.5%-1%)的，有一项扣0.1分,最多扣1分。</w:t>
      </w:r>
    </w:p>
    <w:p w14:paraId="241B6E91">
      <w:pPr>
        <w:tabs>
          <w:tab w:val="left" w:pos="0"/>
        </w:tabs>
        <w:spacing w:line="560" w:lineRule="exact"/>
        <w:ind w:right="-36" w:firstLine="806" w:firstLineChars="252"/>
        <w:rPr>
          <w:snapToGrid w:val="0"/>
          <w:color w:val="000000"/>
          <w:kern w:val="32"/>
          <w:szCs w:val="32"/>
        </w:rPr>
      </w:pPr>
      <w:r>
        <w:rPr>
          <w:snapToGrid w:val="0"/>
          <w:color w:val="000000"/>
          <w:kern w:val="32"/>
          <w:szCs w:val="32"/>
        </w:rPr>
        <w:t>各地应加强招投标各方信用管理，规范工程建设领域招投标活动秩序。</w:t>
      </w:r>
    </w:p>
    <w:p w14:paraId="05D6D29E">
      <w:pPr>
        <w:tabs>
          <w:tab w:val="left" w:pos="0"/>
        </w:tabs>
        <w:spacing w:line="560" w:lineRule="exact"/>
        <w:ind w:right="-36" w:firstLine="646" w:firstLineChars="202"/>
        <w:rPr>
          <w:snapToGrid w:val="0"/>
          <w:color w:val="000000"/>
          <w:kern w:val="32"/>
          <w:szCs w:val="32"/>
        </w:rPr>
      </w:pPr>
      <w:r>
        <w:rPr>
          <w:rFonts w:eastAsia="方正黑体_GBK"/>
          <w:snapToGrid w:val="0"/>
          <w:color w:val="000000"/>
          <w:kern w:val="32"/>
          <w:szCs w:val="32"/>
        </w:rPr>
        <w:t>第九条</w:t>
      </w:r>
      <w:r>
        <w:rPr>
          <w:snapToGrid w:val="0"/>
          <w:color w:val="000000"/>
          <w:kern w:val="32"/>
          <w:szCs w:val="32"/>
        </w:rPr>
        <w:t xml:space="preserve"> 采用合理低价法和经评审的最低投标价法，一般以投标报价作为评审因素。评标委员会应根据招标文件中明确的投标报价评审方法对进入详细评审投标报价进行评审。</w:t>
      </w:r>
    </w:p>
    <w:p w14:paraId="555D50A9">
      <w:pPr>
        <w:tabs>
          <w:tab w:val="left" w:pos="0"/>
        </w:tabs>
        <w:spacing w:line="560" w:lineRule="exact"/>
        <w:ind w:right="-36" w:firstLine="646" w:firstLineChars="202"/>
        <w:rPr>
          <w:snapToGrid w:val="0"/>
          <w:color w:val="000000"/>
          <w:kern w:val="32"/>
          <w:szCs w:val="32"/>
        </w:rPr>
      </w:pPr>
      <w:r>
        <w:rPr>
          <w:rFonts w:eastAsia="方正黑体_GBK"/>
          <w:snapToGrid w:val="0"/>
          <w:color w:val="000000"/>
          <w:kern w:val="32"/>
          <w:szCs w:val="32"/>
        </w:rPr>
        <w:t>第十条</w:t>
      </w:r>
      <w:r>
        <w:rPr>
          <w:snapToGrid w:val="0"/>
          <w:color w:val="000000"/>
          <w:kern w:val="32"/>
          <w:szCs w:val="32"/>
        </w:rPr>
        <w:t xml:space="preserve"> 采用综合评估法的工程，提倡实行两阶段评标。投标人按照招标文件的要求编制、递交投标文件（包括商务技术文件和报价文件两部分）。开标、评标活动分两个阶段进行：</w:t>
      </w:r>
    </w:p>
    <w:p w14:paraId="5D397F3F">
      <w:pPr>
        <w:tabs>
          <w:tab w:val="left" w:pos="0"/>
        </w:tabs>
        <w:spacing w:line="560" w:lineRule="exact"/>
        <w:ind w:right="-36" w:firstLine="646" w:firstLineChars="202"/>
        <w:rPr>
          <w:snapToGrid w:val="0"/>
          <w:color w:val="000000"/>
          <w:kern w:val="32"/>
          <w:szCs w:val="32"/>
        </w:rPr>
      </w:pPr>
      <w:r>
        <w:rPr>
          <w:rFonts w:hint="default" w:ascii="Times New Roman" w:eastAsia="方正楷体_GBK"/>
          <w:snapToGrid w:val="0"/>
          <w:color w:val="000000"/>
          <w:kern w:val="32"/>
          <w:szCs w:val="32"/>
        </w:rPr>
        <w:t>第一阶段：</w:t>
      </w:r>
      <w:r>
        <w:rPr>
          <w:snapToGrid w:val="0"/>
          <w:color w:val="000000"/>
          <w:kern w:val="32"/>
          <w:szCs w:val="32"/>
        </w:rPr>
        <w:t>商务技术文件开标评标。评标委员会先评审商务技术文件（包括投标项目负责人答辩）。选择商务技术文件得分汇总排前几名的投标人（具体数量在招标文件中明确，投标人超过12个的，取前9名；投标人为9-11个的，取前7名；投标人为8个及以下的，取前5名）才能进入第二阶段开标评标。</w:t>
      </w:r>
    </w:p>
    <w:p w14:paraId="54245594">
      <w:pPr>
        <w:tabs>
          <w:tab w:val="left" w:pos="0"/>
        </w:tabs>
        <w:spacing w:line="560" w:lineRule="exact"/>
        <w:ind w:right="-36" w:firstLine="646" w:firstLineChars="202"/>
        <w:rPr>
          <w:snapToGrid w:val="0"/>
          <w:color w:val="000000"/>
          <w:kern w:val="32"/>
          <w:szCs w:val="32"/>
        </w:rPr>
      </w:pPr>
      <w:r>
        <w:rPr>
          <w:rFonts w:hint="default" w:ascii="Times New Roman" w:eastAsia="方正楷体_GBK"/>
          <w:snapToGrid w:val="0"/>
          <w:color w:val="000000"/>
          <w:kern w:val="32"/>
          <w:szCs w:val="32"/>
        </w:rPr>
        <w:t>第二阶段：</w:t>
      </w:r>
      <w:r>
        <w:rPr>
          <w:snapToGrid w:val="0"/>
          <w:color w:val="000000"/>
          <w:kern w:val="32"/>
          <w:szCs w:val="32"/>
        </w:rPr>
        <w:t>报价文件开标评标（仅针对进入第二阶段的投标文件进行）。商务技术标得分是否带入第二阶段，由招标人在招标文件中明确。</w:t>
      </w:r>
    </w:p>
    <w:p w14:paraId="1134C41E">
      <w:pPr>
        <w:tabs>
          <w:tab w:val="left" w:pos="0"/>
        </w:tabs>
        <w:spacing w:line="560" w:lineRule="exact"/>
        <w:ind w:right="-36" w:firstLine="646" w:firstLineChars="202"/>
        <w:rPr>
          <w:snapToGrid w:val="0"/>
          <w:color w:val="000000"/>
          <w:kern w:val="32"/>
          <w:szCs w:val="32"/>
        </w:rPr>
      </w:pPr>
    </w:p>
    <w:p w14:paraId="2B5C3A88">
      <w:pPr>
        <w:tabs>
          <w:tab w:val="left" w:pos="0"/>
        </w:tabs>
        <w:spacing w:line="560" w:lineRule="exact"/>
        <w:ind w:right="-36" w:firstLine="646" w:firstLineChars="202"/>
        <w:rPr>
          <w:snapToGrid/>
          <w:color w:val="000000"/>
          <w:kern w:val="2"/>
          <w:szCs w:val="20"/>
        </w:rPr>
      </w:pPr>
      <w:r>
        <w:rPr>
          <w:rFonts w:eastAsia="方正黑体_GBK"/>
          <w:snapToGrid w:val="0"/>
          <w:color w:val="000000"/>
          <w:kern w:val="32"/>
          <w:szCs w:val="32"/>
        </w:rPr>
        <w:t>第十一条</w:t>
      </w:r>
      <w:r>
        <w:rPr>
          <w:snapToGrid w:val="0"/>
          <w:color w:val="000000"/>
          <w:kern w:val="32"/>
          <w:szCs w:val="32"/>
        </w:rPr>
        <w:t xml:space="preserve"> 推荐中标候选人。评标委员会按照招标文件的要求推荐中标候选人。评标委员会在推荐中标候选人时，如因投标人的评标价、综合得分相同而影响排序，原则上综合得分相同的应以评标价较低的优先，评标价相同及其它情形应以</w:t>
      </w:r>
      <w:r>
        <w:rPr>
          <w:rFonts w:hint="default"/>
          <w:snapToGrid w:val="0"/>
          <w:color w:val="000000"/>
          <w:kern w:val="32"/>
          <w:szCs w:val="32"/>
          <w:highlight w:val="lightGray"/>
        </w:rPr>
        <w:t>票决法</w:t>
      </w:r>
      <w:r>
        <w:rPr>
          <w:snapToGrid w:val="0"/>
          <w:color w:val="000000"/>
          <w:kern w:val="32"/>
          <w:szCs w:val="32"/>
          <w:highlight w:val="lightGray"/>
        </w:rPr>
        <w:t>确定排序</w:t>
      </w:r>
      <w:r>
        <w:rPr>
          <w:rFonts w:hint="default"/>
          <w:color w:val="000000"/>
          <w:highlight w:val="lightGray"/>
        </w:rPr>
        <w:t>，评</w:t>
      </w:r>
      <w:r>
        <w:rPr>
          <w:color w:val="000000"/>
          <w:highlight w:val="lightGray"/>
        </w:rPr>
        <w:t>标委员会成员根据</w:t>
      </w:r>
      <w:r>
        <w:rPr>
          <w:rFonts w:hint="default"/>
          <w:color w:val="000000"/>
          <w:highlight w:val="lightGray"/>
        </w:rPr>
        <w:t>评</w:t>
      </w:r>
      <w:r>
        <w:rPr>
          <w:color w:val="000000"/>
          <w:highlight w:val="lightGray"/>
        </w:rPr>
        <w:t>标标准对</w:t>
      </w:r>
      <w:r>
        <w:rPr>
          <w:rFonts w:hint="default"/>
          <w:color w:val="000000"/>
          <w:highlight w:val="lightGray"/>
        </w:rPr>
        <w:t>排序相同的投标人</w:t>
      </w:r>
      <w:r>
        <w:rPr>
          <w:color w:val="000000"/>
          <w:highlight w:val="lightGray"/>
        </w:rPr>
        <w:t>进行评价比较后记名票决，</w:t>
      </w:r>
      <w:r>
        <w:rPr>
          <w:rFonts w:hint="default"/>
          <w:color w:val="000000"/>
          <w:highlight w:val="lightGray"/>
        </w:rPr>
        <w:t>得票数多的优先</w:t>
      </w:r>
      <w:r>
        <w:rPr>
          <w:rFonts w:hint="default"/>
          <w:snapToGrid w:val="0"/>
          <w:color w:val="000000"/>
          <w:kern w:val="32"/>
          <w:szCs w:val="32"/>
          <w:highlight w:val="lightGray"/>
        </w:rPr>
        <w:t>。</w:t>
      </w:r>
      <w:r>
        <w:rPr>
          <w:snapToGrid w:val="0"/>
          <w:color w:val="000000"/>
          <w:kern w:val="32"/>
          <w:szCs w:val="32"/>
        </w:rPr>
        <w:t>具体要求应在招标文件中明确。</w:t>
      </w:r>
    </w:p>
    <w:p w14:paraId="0BC5DB95">
      <w:pPr>
        <w:tabs>
          <w:tab w:val="left" w:pos="0"/>
        </w:tabs>
        <w:spacing w:line="560" w:lineRule="exact"/>
        <w:ind w:firstLine="646" w:firstLineChars="202"/>
        <w:jc w:val="left"/>
        <w:rPr>
          <w:snapToGrid w:val="0"/>
          <w:color w:val="000000"/>
          <w:kern w:val="32"/>
          <w:szCs w:val="32"/>
        </w:rPr>
      </w:pPr>
    </w:p>
    <w:p w14:paraId="7B3989A2">
      <w:pPr>
        <w:tabs>
          <w:tab w:val="left" w:pos="0"/>
        </w:tabs>
        <w:spacing w:line="560" w:lineRule="exact"/>
        <w:ind w:firstLine="646" w:firstLineChars="202"/>
        <w:rPr>
          <w:snapToGrid w:val="0"/>
          <w:color w:val="000000"/>
          <w:kern w:val="32"/>
          <w:szCs w:val="32"/>
        </w:rPr>
      </w:pPr>
      <w:r>
        <w:rPr>
          <w:rFonts w:eastAsia="方正黑体_GBK"/>
          <w:snapToGrid w:val="0"/>
          <w:color w:val="000000"/>
          <w:kern w:val="32"/>
          <w:szCs w:val="32"/>
        </w:rPr>
        <w:t>第十三条</w:t>
      </w:r>
      <w:r>
        <w:rPr>
          <w:snapToGrid w:val="0"/>
          <w:color w:val="000000"/>
          <w:kern w:val="32"/>
          <w:szCs w:val="32"/>
        </w:rPr>
        <w:t xml:space="preserve"> 本办法所称的特大型、大型、中型、小型工程和技术复杂工程、类似工程的标准和要求见附件一的相关定义。</w:t>
      </w:r>
    </w:p>
    <w:p w14:paraId="222B3446">
      <w:pPr>
        <w:tabs>
          <w:tab w:val="left" w:pos="0"/>
        </w:tabs>
        <w:spacing w:line="560" w:lineRule="exact"/>
        <w:ind w:firstLine="646" w:firstLineChars="202"/>
        <w:rPr>
          <w:snapToGrid w:val="0"/>
          <w:color w:val="000000"/>
          <w:kern w:val="32"/>
          <w:szCs w:val="32"/>
        </w:rPr>
      </w:pPr>
      <w:r>
        <w:rPr>
          <w:rFonts w:eastAsia="方正黑体_GBK"/>
          <w:snapToGrid w:val="0"/>
          <w:color w:val="000000"/>
          <w:kern w:val="32"/>
          <w:szCs w:val="32"/>
        </w:rPr>
        <w:t>第十四条</w:t>
      </w:r>
      <w:r>
        <w:rPr>
          <w:snapToGrid w:val="0"/>
          <w:color w:val="000000"/>
          <w:kern w:val="32"/>
          <w:szCs w:val="32"/>
        </w:rPr>
        <w:t xml:space="preserve"> 各地可以根据本办法的有关规定，结合本地区实际情况，对评标细则进行适当调整。</w:t>
      </w:r>
      <w:bookmarkEnd w:id="0"/>
      <w:bookmarkEnd w:id="1"/>
      <w:bookmarkEnd w:id="2"/>
      <w:bookmarkEnd w:id="3"/>
    </w:p>
    <w:p w14:paraId="10E533EC">
      <w:r>
        <w:rPr>
          <w:snapToGrid w:val="0"/>
          <w:color w:val="000000"/>
          <w:kern w:val="32"/>
          <w:szCs w:val="32"/>
        </w:rPr>
        <w:br w:type="page"/>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1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2024-12-18T09:03:11Z</dcterms:created>
  <dc:creator>Sun</dc:creator>
  <cp:lastModifiedBy>火木</cp:lastModifiedBy>
  <dcterms:modified xsi:type="dcterms:W3CDTF">2024-12-18T09:03:30Z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6E8F41F8DB194F46AB3324393D115A1B_12</vt:lpwstr>
  </property>
</Properties>
</file>