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DA0B50">
      <w:pPr>
        <w:spacing w:line="560" w:lineRule="exact"/>
        <w:rPr>
          <w:rFonts w:hint="default" w:eastAsia="方正黑体_GBK"/>
          <w:snapToGrid w:val="0"/>
          <w:color w:val="000000"/>
          <w:kern w:val="0"/>
          <w:szCs w:val="32"/>
          <w:lang w:val="en-US" w:eastAsia="zh-CN"/>
        </w:rPr>
      </w:pPr>
      <w:r>
        <w:rPr>
          <w:rFonts w:eastAsia="方正黑体_GBK"/>
          <w:snapToGrid w:val="0"/>
          <w:color w:val="000000"/>
          <w:kern w:val="0"/>
          <w:szCs w:val="32"/>
        </w:rPr>
        <w:t>附件</w:t>
      </w:r>
      <w:r>
        <w:rPr>
          <w:rFonts w:hint="eastAsia" w:eastAsia="方正黑体_GBK"/>
          <w:snapToGrid w:val="0"/>
          <w:color w:val="000000"/>
          <w:kern w:val="0"/>
          <w:szCs w:val="32"/>
          <w:lang w:val="en-US" w:eastAsia="zh-CN"/>
        </w:rPr>
        <w:t>13</w:t>
      </w:r>
    </w:p>
    <w:p w14:paraId="524DD02D">
      <w:pPr>
        <w:spacing w:line="560" w:lineRule="exact"/>
        <w:rPr>
          <w:snapToGrid w:val="0"/>
          <w:color w:val="000000"/>
          <w:kern w:val="32"/>
          <w:szCs w:val="32"/>
        </w:rPr>
      </w:pPr>
    </w:p>
    <w:p w14:paraId="62893CF8">
      <w:pPr>
        <w:spacing w:line="560" w:lineRule="exact"/>
        <w:jc w:val="center"/>
        <w:rPr>
          <w:rFonts w:eastAsia="方正小标宋_GBK"/>
          <w:snapToGrid w:val="0"/>
          <w:color w:val="000000"/>
          <w:kern w:val="0"/>
          <w:sz w:val="44"/>
          <w:szCs w:val="44"/>
        </w:rPr>
      </w:pPr>
      <w:r>
        <w:rPr>
          <w:rFonts w:eastAsia="方正小标宋_GBK"/>
          <w:snapToGrid w:val="0"/>
          <w:color w:val="000000"/>
          <w:kern w:val="0"/>
          <w:sz w:val="44"/>
          <w:szCs w:val="44"/>
        </w:rPr>
        <w:t>江苏省房屋建筑和市政基础设施工程</w:t>
      </w:r>
    </w:p>
    <w:p w14:paraId="2646C646">
      <w:pPr>
        <w:spacing w:line="560" w:lineRule="exact"/>
        <w:jc w:val="center"/>
        <w:rPr>
          <w:rFonts w:eastAsia="方正小标宋_GBK"/>
          <w:snapToGrid w:val="0"/>
          <w:color w:val="000000"/>
          <w:kern w:val="0"/>
          <w:sz w:val="44"/>
          <w:szCs w:val="44"/>
        </w:rPr>
      </w:pPr>
      <w:r>
        <w:rPr>
          <w:rFonts w:eastAsia="方正小标宋_GBK"/>
          <w:snapToGrid w:val="0"/>
          <w:color w:val="000000"/>
          <w:kern w:val="0"/>
          <w:sz w:val="44"/>
          <w:szCs w:val="44"/>
        </w:rPr>
        <w:t>施工招标资格审查办法</w:t>
      </w:r>
    </w:p>
    <w:p w14:paraId="3E640A97">
      <w:pPr>
        <w:spacing w:line="560" w:lineRule="exact"/>
        <w:jc w:val="center"/>
        <w:rPr>
          <w:rFonts w:eastAsia="方正小标宋_GBK"/>
          <w:snapToGrid w:val="0"/>
          <w:color w:val="000000"/>
          <w:kern w:val="0"/>
          <w:sz w:val="44"/>
          <w:szCs w:val="44"/>
        </w:rPr>
      </w:pPr>
    </w:p>
    <w:p w14:paraId="19BBF7C4">
      <w:pPr>
        <w:spacing w:line="560" w:lineRule="exact"/>
        <w:jc w:val="center"/>
        <w:rPr>
          <w:rFonts w:eastAsia="方正黑体_GBK"/>
          <w:snapToGrid w:val="0"/>
          <w:color w:val="000000"/>
          <w:kern w:val="32"/>
          <w:szCs w:val="32"/>
        </w:rPr>
      </w:pPr>
      <w:r>
        <w:rPr>
          <w:rFonts w:eastAsia="方正黑体_GBK"/>
          <w:snapToGrid w:val="0"/>
          <w:color w:val="000000"/>
          <w:kern w:val="32"/>
          <w:szCs w:val="32"/>
        </w:rPr>
        <w:t>第一章 总则</w:t>
      </w:r>
    </w:p>
    <w:p w14:paraId="3EFBB79A">
      <w:pPr>
        <w:tabs>
          <w:tab w:val="left" w:pos="0"/>
        </w:tabs>
        <w:spacing w:line="560" w:lineRule="exact"/>
        <w:ind w:firstLine="646" w:firstLineChars="202"/>
        <w:rPr>
          <w:snapToGrid w:val="0"/>
          <w:color w:val="000000"/>
          <w:kern w:val="32"/>
          <w:szCs w:val="32"/>
        </w:rPr>
      </w:pPr>
      <w:r>
        <w:rPr>
          <w:rFonts w:hint="default" w:ascii="Times New Roman" w:eastAsia="方正楷体_GBK"/>
          <w:snapToGrid w:val="0"/>
          <w:color w:val="000000"/>
          <w:kern w:val="32"/>
          <w:szCs w:val="32"/>
        </w:rPr>
        <w:t>第一条</w:t>
      </w:r>
      <w:r>
        <w:rPr>
          <w:snapToGrid w:val="0"/>
          <w:color w:val="000000"/>
          <w:kern w:val="32"/>
          <w:szCs w:val="32"/>
        </w:rPr>
        <w:t xml:space="preserve"> 为规范我省房屋建筑和市政基础设施工程施工招标的资格审查行为，维护招标投标当事人的合法权益，依据《中华人民共和国招标投标法》、《中华人民共和国招标投标法实施条例》等，制定本办法。</w:t>
      </w:r>
    </w:p>
    <w:p w14:paraId="5C8E133D">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第二条</w:t>
      </w:r>
      <w:r>
        <w:rPr>
          <w:snapToGrid w:val="0"/>
          <w:color w:val="000000"/>
          <w:kern w:val="32"/>
          <w:szCs w:val="32"/>
        </w:rPr>
        <w:t xml:space="preserve"> 本省行政区域内，国有资金项目施工招标的资格审查活动，适用本办法。</w:t>
      </w:r>
    </w:p>
    <w:p w14:paraId="313858D8">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第三条</w:t>
      </w:r>
      <w:r>
        <w:rPr>
          <w:snapToGrid w:val="0"/>
          <w:color w:val="000000"/>
          <w:kern w:val="32"/>
          <w:szCs w:val="32"/>
        </w:rPr>
        <w:t xml:space="preserve"> 资格审查分为资格预审和资格后审。</w:t>
      </w:r>
    </w:p>
    <w:p w14:paraId="59729C7A">
      <w:pPr>
        <w:tabs>
          <w:tab w:val="left" w:pos="0"/>
        </w:tabs>
        <w:spacing w:line="560" w:lineRule="exact"/>
        <w:ind w:firstLine="646" w:firstLineChars="202"/>
        <w:rPr>
          <w:snapToGrid w:val="0"/>
          <w:color w:val="000000"/>
          <w:kern w:val="32"/>
          <w:szCs w:val="32"/>
        </w:rPr>
      </w:pPr>
      <w:r>
        <w:rPr>
          <w:snapToGrid w:val="0"/>
          <w:color w:val="000000"/>
          <w:kern w:val="32"/>
          <w:szCs w:val="32"/>
        </w:rPr>
        <w:t>资格预审是指在投标前对资格预审申请人进行的资格审查。</w:t>
      </w:r>
    </w:p>
    <w:p w14:paraId="360FD655">
      <w:pPr>
        <w:tabs>
          <w:tab w:val="left" w:pos="0"/>
        </w:tabs>
        <w:spacing w:line="560" w:lineRule="exact"/>
        <w:ind w:firstLine="646" w:firstLineChars="202"/>
        <w:rPr>
          <w:snapToGrid w:val="0"/>
          <w:color w:val="000000"/>
          <w:kern w:val="32"/>
          <w:szCs w:val="32"/>
        </w:rPr>
      </w:pPr>
      <w:r>
        <w:rPr>
          <w:snapToGrid w:val="0"/>
          <w:color w:val="000000"/>
          <w:kern w:val="32"/>
          <w:szCs w:val="32"/>
        </w:rPr>
        <w:t>资格后审是指在开标后对投标人进行的资格审查。</w:t>
      </w:r>
    </w:p>
    <w:p w14:paraId="01E87775">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第四条</w:t>
      </w:r>
      <w:r>
        <w:rPr>
          <w:snapToGrid w:val="0"/>
          <w:color w:val="000000"/>
          <w:kern w:val="32"/>
          <w:szCs w:val="32"/>
        </w:rPr>
        <w:t xml:space="preserve"> 资格预审分为合格制和有限数量制两种方法。资格后审均采用合格制。</w:t>
      </w:r>
    </w:p>
    <w:p w14:paraId="54139D8B">
      <w:pPr>
        <w:tabs>
          <w:tab w:val="left" w:pos="0"/>
        </w:tabs>
        <w:spacing w:line="560" w:lineRule="exact"/>
        <w:ind w:firstLine="646" w:firstLineChars="202"/>
        <w:rPr>
          <w:snapToGrid w:val="0"/>
          <w:color w:val="000000"/>
          <w:kern w:val="32"/>
          <w:szCs w:val="32"/>
        </w:rPr>
      </w:pPr>
      <w:r>
        <w:rPr>
          <w:snapToGrid w:val="0"/>
          <w:color w:val="000000"/>
          <w:kern w:val="32"/>
          <w:szCs w:val="32"/>
        </w:rPr>
        <w:t>合格制是指凡符合资格预审公告或者资格预审文件规定资格审查标准的申请人均通过资格审查。</w:t>
      </w:r>
    </w:p>
    <w:p w14:paraId="6A203571">
      <w:pPr>
        <w:tabs>
          <w:tab w:val="left" w:pos="0"/>
        </w:tabs>
        <w:spacing w:line="560" w:lineRule="exact"/>
        <w:ind w:firstLine="646" w:firstLineChars="202"/>
        <w:rPr>
          <w:snapToGrid w:val="0"/>
          <w:color w:val="000000"/>
          <w:kern w:val="32"/>
          <w:szCs w:val="32"/>
        </w:rPr>
      </w:pPr>
      <w:r>
        <w:rPr>
          <w:snapToGrid w:val="0"/>
          <w:color w:val="000000"/>
          <w:kern w:val="32"/>
          <w:szCs w:val="32"/>
        </w:rPr>
        <w:t>有限数量制是指对通过初步审查和详细审查的资格预审申请人进行量化打分，按得分高低顺序确定通过资格预审的申请人。</w:t>
      </w:r>
    </w:p>
    <w:p w14:paraId="5DF36A4A">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第五条</w:t>
      </w:r>
      <w:r>
        <w:rPr>
          <w:snapToGrid w:val="0"/>
          <w:color w:val="000000"/>
          <w:kern w:val="32"/>
          <w:szCs w:val="32"/>
        </w:rPr>
        <w:t xml:space="preserve"> 资格审查的方式选用应当符合下列规定：</w:t>
      </w:r>
    </w:p>
    <w:p w14:paraId="4462B124">
      <w:pPr>
        <w:tabs>
          <w:tab w:val="left" w:pos="0"/>
        </w:tabs>
        <w:spacing w:line="560" w:lineRule="exact"/>
        <w:ind w:firstLine="646" w:firstLineChars="202"/>
        <w:rPr>
          <w:snapToGrid w:val="0"/>
          <w:color w:val="000000"/>
          <w:kern w:val="32"/>
          <w:szCs w:val="32"/>
        </w:rPr>
      </w:pPr>
      <w:r>
        <w:rPr>
          <w:snapToGrid w:val="0"/>
          <w:color w:val="000000"/>
          <w:kern w:val="32"/>
          <w:szCs w:val="32"/>
        </w:rPr>
        <w:t>（一）对于具有通用技术标准的工程项目，一般应当采用资格后审；</w:t>
      </w:r>
    </w:p>
    <w:p w14:paraId="01F65A36">
      <w:pPr>
        <w:tabs>
          <w:tab w:val="left" w:pos="0"/>
        </w:tabs>
        <w:spacing w:line="560" w:lineRule="exact"/>
        <w:ind w:firstLine="646" w:firstLineChars="202"/>
        <w:rPr>
          <w:snapToGrid w:val="0"/>
          <w:color w:val="000000"/>
          <w:kern w:val="32"/>
          <w:szCs w:val="32"/>
        </w:rPr>
      </w:pPr>
      <w:r>
        <w:rPr>
          <w:snapToGrid w:val="0"/>
          <w:color w:val="000000"/>
          <w:kern w:val="32"/>
          <w:szCs w:val="32"/>
        </w:rPr>
        <w:t>（二）对于大型及以上或技术复杂的工程项目，可以采用合格制资格预审；</w:t>
      </w:r>
    </w:p>
    <w:p w14:paraId="46F1BFCC">
      <w:pPr>
        <w:tabs>
          <w:tab w:val="left" w:pos="0"/>
        </w:tabs>
        <w:spacing w:line="560" w:lineRule="exact"/>
        <w:ind w:firstLine="646" w:firstLineChars="202"/>
        <w:rPr>
          <w:snapToGrid w:val="0"/>
          <w:color w:val="000000"/>
          <w:kern w:val="32"/>
          <w:szCs w:val="32"/>
        </w:rPr>
      </w:pPr>
      <w:r>
        <w:rPr>
          <w:snapToGrid w:val="0"/>
          <w:color w:val="000000"/>
          <w:kern w:val="32"/>
          <w:szCs w:val="32"/>
        </w:rPr>
        <w:t>（三）对于大型及以上且技术复杂的工程项目，可以选用有限数量制资格预审，对有限数量制的使用应当严格控制；</w:t>
      </w:r>
    </w:p>
    <w:p w14:paraId="0C1159FC">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第六条</w:t>
      </w:r>
      <w:r>
        <w:rPr>
          <w:snapToGrid w:val="0"/>
          <w:color w:val="000000"/>
          <w:kern w:val="32"/>
          <w:szCs w:val="32"/>
        </w:rPr>
        <w:t xml:space="preserve"> 资格审查活动应当遵循公平、公正、科学、择优的原则。任何单位和个人不得以不合理的条件限制、排斥资格预审申请人或者潜在投标人，不得对资格预审申请人或者潜在投标人实行歧视待遇。</w:t>
      </w:r>
    </w:p>
    <w:p w14:paraId="32979600">
      <w:pPr>
        <w:tabs>
          <w:tab w:val="left" w:pos="0"/>
        </w:tabs>
        <w:spacing w:line="560" w:lineRule="exact"/>
        <w:ind w:firstLine="646" w:firstLineChars="202"/>
        <w:rPr>
          <w:snapToGrid w:val="0"/>
          <w:color w:val="000000"/>
          <w:kern w:val="32"/>
          <w:szCs w:val="32"/>
        </w:rPr>
      </w:pPr>
      <w:r>
        <w:rPr>
          <w:snapToGrid w:val="0"/>
          <w:color w:val="000000"/>
          <w:kern w:val="32"/>
          <w:szCs w:val="32"/>
        </w:rPr>
        <w:t>任何单位和个人不得非法干预或者影响依法进行的资格审查活动。</w:t>
      </w:r>
    </w:p>
    <w:p w14:paraId="579605B3">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第七条</w:t>
      </w:r>
      <w:r>
        <w:rPr>
          <w:snapToGrid w:val="0"/>
          <w:color w:val="000000"/>
          <w:kern w:val="32"/>
          <w:szCs w:val="32"/>
        </w:rPr>
        <w:t xml:space="preserve"> 资格审查实行网上电子审查，资格审查活动应当在项目所在地公共资源交易中心进行，并接受招投标监管机构依法实施的监督。</w:t>
      </w:r>
    </w:p>
    <w:p w14:paraId="3565FA36">
      <w:pPr>
        <w:tabs>
          <w:tab w:val="left" w:pos="0"/>
        </w:tabs>
        <w:spacing w:line="560" w:lineRule="exact"/>
        <w:jc w:val="center"/>
        <w:rPr>
          <w:rFonts w:eastAsia="方正黑体_GBK"/>
          <w:snapToGrid w:val="0"/>
          <w:color w:val="000000"/>
          <w:kern w:val="32"/>
          <w:szCs w:val="32"/>
        </w:rPr>
      </w:pPr>
      <w:r>
        <w:rPr>
          <w:rFonts w:eastAsia="方正黑体_GBK"/>
          <w:snapToGrid w:val="0"/>
          <w:color w:val="000000"/>
          <w:kern w:val="32"/>
          <w:szCs w:val="32"/>
        </w:rPr>
        <w:t>第二章 资格审查条件和要求</w:t>
      </w:r>
    </w:p>
    <w:p w14:paraId="5567384D">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第八条</w:t>
      </w:r>
      <w:r>
        <w:rPr>
          <w:snapToGrid w:val="0"/>
          <w:color w:val="000000"/>
          <w:kern w:val="32"/>
          <w:szCs w:val="32"/>
        </w:rPr>
        <w:t xml:space="preserve"> 招标人应当根据有关法律、法规和规章的规定，结合工程项目的内容和特点，在资格预审文件、招标文件和相应的招标公告中，明确合格投标人的资格条件以及资格评审的方法、标准。</w:t>
      </w:r>
    </w:p>
    <w:p w14:paraId="596943F0">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第九条</w:t>
      </w:r>
      <w:bookmarkStart w:id="0" w:name="_Hlk485459645"/>
      <w:r>
        <w:rPr>
          <w:snapToGrid w:val="0"/>
          <w:color w:val="000000"/>
          <w:kern w:val="32"/>
          <w:szCs w:val="32"/>
        </w:rPr>
        <w:t xml:space="preserve"> 资格审查条件分为必要条件</w:t>
      </w:r>
      <w:bookmarkEnd w:id="0"/>
      <w:r>
        <w:rPr>
          <w:snapToGrid w:val="0"/>
          <w:color w:val="000000"/>
          <w:kern w:val="32"/>
          <w:szCs w:val="32"/>
        </w:rPr>
        <w:t>和可选条件。</w:t>
      </w:r>
    </w:p>
    <w:p w14:paraId="543243F9">
      <w:pPr>
        <w:tabs>
          <w:tab w:val="left" w:pos="0"/>
        </w:tabs>
        <w:spacing w:line="560" w:lineRule="exact"/>
        <w:ind w:firstLine="646" w:firstLineChars="202"/>
        <w:rPr>
          <w:snapToGrid w:val="0"/>
          <w:color w:val="000000"/>
          <w:kern w:val="32"/>
          <w:szCs w:val="32"/>
        </w:rPr>
      </w:pPr>
      <w:bookmarkStart w:id="1" w:name="_Hlk485459696"/>
      <w:r>
        <w:rPr>
          <w:snapToGrid w:val="0"/>
          <w:color w:val="000000"/>
          <w:kern w:val="32"/>
          <w:szCs w:val="32"/>
        </w:rPr>
        <w:t>资格审查必要条件即招标人在资格审查过程中必选的，资格审查合格至少应当满足的条件。</w:t>
      </w:r>
      <w:bookmarkEnd w:id="1"/>
    </w:p>
    <w:p w14:paraId="0C604146">
      <w:pPr>
        <w:tabs>
          <w:tab w:val="left" w:pos="0"/>
        </w:tabs>
        <w:spacing w:line="560" w:lineRule="exact"/>
        <w:ind w:firstLine="646" w:firstLineChars="202"/>
        <w:rPr>
          <w:snapToGrid w:val="0"/>
          <w:color w:val="000000"/>
          <w:kern w:val="32"/>
          <w:szCs w:val="32"/>
        </w:rPr>
      </w:pPr>
      <w:r>
        <w:rPr>
          <w:snapToGrid w:val="0"/>
          <w:color w:val="000000"/>
          <w:kern w:val="32"/>
          <w:szCs w:val="32"/>
        </w:rPr>
        <w:t>资格审查可选条件即招标人根据项目实际可以选择全部或者部分作为资格审查的合格条件。</w:t>
      </w:r>
    </w:p>
    <w:p w14:paraId="051E1C7C">
      <w:pPr>
        <w:tabs>
          <w:tab w:val="left" w:pos="0"/>
        </w:tabs>
        <w:spacing w:line="560" w:lineRule="exact"/>
        <w:ind w:firstLine="646" w:firstLineChars="202"/>
        <w:rPr>
          <w:snapToGrid w:val="0"/>
          <w:color w:val="000000"/>
          <w:kern w:val="32"/>
          <w:szCs w:val="32"/>
        </w:rPr>
      </w:pPr>
      <w:r>
        <w:rPr>
          <w:snapToGrid w:val="0"/>
          <w:color w:val="000000"/>
          <w:kern w:val="32"/>
          <w:szCs w:val="32"/>
        </w:rPr>
        <w:t>资格预审和资格后审可根据招标项目需要设置资格审查必选条件和可选条件。但采用资格后审的工程项目，设置“企业或者项目负责人承担过类似工程”作为合格条件，仅限于技术复杂或者大型及以上工程项目和无资质要求的专业工程项目。</w:t>
      </w:r>
    </w:p>
    <w:p w14:paraId="4733C832">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 xml:space="preserve">第十条 </w:t>
      </w:r>
      <w:r>
        <w:rPr>
          <w:snapToGrid w:val="0"/>
          <w:color w:val="000000"/>
          <w:kern w:val="32"/>
          <w:szCs w:val="32"/>
        </w:rPr>
        <w:t>以下条件属于资格审查必要条件：</w:t>
      </w:r>
    </w:p>
    <w:p w14:paraId="53629A18">
      <w:pPr>
        <w:tabs>
          <w:tab w:val="left" w:pos="0"/>
        </w:tabs>
        <w:spacing w:line="560" w:lineRule="exact"/>
        <w:ind w:firstLine="646" w:firstLineChars="202"/>
        <w:rPr>
          <w:snapToGrid w:val="0"/>
          <w:color w:val="000000"/>
          <w:kern w:val="32"/>
          <w:szCs w:val="32"/>
        </w:rPr>
      </w:pPr>
      <w:r>
        <w:rPr>
          <w:snapToGrid w:val="0"/>
          <w:color w:val="000000"/>
          <w:kern w:val="32"/>
          <w:szCs w:val="32"/>
        </w:rPr>
        <w:t>（一）</w:t>
      </w:r>
      <w:r>
        <w:rPr>
          <w:rFonts w:hint="default"/>
          <w:snapToGrid w:val="0"/>
          <w:color w:val="000000"/>
          <w:kern w:val="32"/>
          <w:szCs w:val="32"/>
        </w:rPr>
        <w:t>拥有完全民事行为能力</w:t>
      </w:r>
      <w:r>
        <w:rPr>
          <w:snapToGrid w:val="0"/>
          <w:color w:val="000000"/>
          <w:kern w:val="32"/>
          <w:szCs w:val="32"/>
        </w:rPr>
        <w:t>；</w:t>
      </w:r>
    </w:p>
    <w:p w14:paraId="3755E4C7">
      <w:pPr>
        <w:tabs>
          <w:tab w:val="left" w:pos="0"/>
        </w:tabs>
        <w:spacing w:line="560" w:lineRule="exact"/>
        <w:ind w:firstLine="646" w:firstLineChars="202"/>
        <w:rPr>
          <w:snapToGrid w:val="0"/>
          <w:color w:val="000000"/>
          <w:kern w:val="32"/>
          <w:szCs w:val="32"/>
        </w:rPr>
      </w:pPr>
      <w:r>
        <w:rPr>
          <w:snapToGrid w:val="0"/>
          <w:color w:val="000000"/>
          <w:kern w:val="32"/>
          <w:szCs w:val="32"/>
        </w:rPr>
        <w:t>（二）企业的资质类别、等级和项目负责人注册专业、资格等级符合国家有关规定；</w:t>
      </w:r>
    </w:p>
    <w:p w14:paraId="049E9E10">
      <w:pPr>
        <w:tabs>
          <w:tab w:val="left" w:pos="0"/>
        </w:tabs>
        <w:spacing w:line="560" w:lineRule="exact"/>
        <w:ind w:firstLine="646" w:firstLineChars="202"/>
        <w:rPr>
          <w:snapToGrid w:val="0"/>
          <w:color w:val="000000"/>
          <w:kern w:val="32"/>
          <w:szCs w:val="32"/>
        </w:rPr>
      </w:pPr>
      <w:r>
        <w:rPr>
          <w:snapToGrid w:val="0"/>
          <w:color w:val="000000"/>
          <w:kern w:val="32"/>
          <w:szCs w:val="32"/>
        </w:rPr>
        <w:t>（三）以联合体形式投标的，联合体的资格（资质）条件必须符合资格预审文件或招标文件要求，并附有</w:t>
      </w:r>
      <w:r>
        <w:rPr>
          <w:snapToGrid w:val="0"/>
          <w:color w:val="000000"/>
          <w:kern w:val="32"/>
          <w:szCs w:val="32"/>
          <w:highlight w:val="lightGray"/>
        </w:rPr>
        <w:t>共同投标协议</w:t>
      </w:r>
      <w:r>
        <w:rPr>
          <w:snapToGrid w:val="0"/>
          <w:color w:val="000000"/>
          <w:kern w:val="32"/>
          <w:szCs w:val="32"/>
        </w:rPr>
        <w:t>；</w:t>
      </w:r>
    </w:p>
    <w:p w14:paraId="4E2A00C7">
      <w:pPr>
        <w:tabs>
          <w:tab w:val="left" w:pos="0"/>
        </w:tabs>
        <w:spacing w:line="560" w:lineRule="exact"/>
        <w:ind w:firstLine="646" w:firstLineChars="202"/>
        <w:rPr>
          <w:snapToGrid w:val="0"/>
          <w:color w:val="000000"/>
          <w:kern w:val="32"/>
          <w:szCs w:val="32"/>
        </w:rPr>
      </w:pPr>
      <w:r>
        <w:rPr>
          <w:snapToGrid w:val="0"/>
          <w:color w:val="000000"/>
          <w:kern w:val="32"/>
          <w:szCs w:val="32"/>
        </w:rPr>
        <w:t xml:space="preserve">（四）企业具备安全生产条件，并取得安全生产许可证（相关规定不作要求的除外）； </w:t>
      </w:r>
    </w:p>
    <w:p w14:paraId="6EC3133B">
      <w:pPr>
        <w:spacing w:line="560" w:lineRule="exact"/>
        <w:ind w:firstLine="640" w:firstLineChars="200"/>
        <w:rPr>
          <w:snapToGrid w:val="0"/>
          <w:color w:val="000000"/>
          <w:kern w:val="32"/>
          <w:szCs w:val="32"/>
        </w:rPr>
      </w:pPr>
      <w:r>
        <w:rPr>
          <w:snapToGrid w:val="0"/>
          <w:color w:val="000000"/>
          <w:kern w:val="32"/>
          <w:szCs w:val="32"/>
        </w:rPr>
        <w:t>（五）项目负责人必须满足下列条件：</w:t>
      </w:r>
    </w:p>
    <w:p w14:paraId="079262ED">
      <w:pPr>
        <w:tabs>
          <w:tab w:val="left" w:pos="0"/>
        </w:tabs>
        <w:spacing w:line="560" w:lineRule="exact"/>
        <w:ind w:firstLine="640" w:firstLineChars="200"/>
        <w:rPr>
          <w:snapToGrid w:val="0"/>
          <w:color w:val="000000"/>
          <w:kern w:val="32"/>
          <w:szCs w:val="32"/>
        </w:rPr>
      </w:pPr>
      <w:r>
        <w:rPr>
          <w:snapToGrid w:val="0"/>
          <w:color w:val="000000"/>
          <w:kern w:val="32"/>
          <w:szCs w:val="32"/>
        </w:rPr>
        <w:t>1．项目负责人不得同时在两个或者两个以上单位受聘或者执业。</w:t>
      </w:r>
    </w:p>
    <w:p w14:paraId="1CCEFD8A">
      <w:pPr>
        <w:tabs>
          <w:tab w:val="left" w:pos="0"/>
        </w:tabs>
        <w:spacing w:line="560" w:lineRule="exact"/>
        <w:ind w:firstLine="640" w:firstLineChars="200"/>
        <w:rPr>
          <w:snapToGrid w:val="0"/>
          <w:color w:val="000000"/>
          <w:kern w:val="32"/>
          <w:szCs w:val="32"/>
        </w:rPr>
      </w:pPr>
      <w:r>
        <w:rPr>
          <w:snapToGrid w:val="0"/>
          <w:color w:val="000000"/>
          <w:kern w:val="32"/>
          <w:szCs w:val="32"/>
        </w:rPr>
        <w:t>2．项目负责人是非变更后无在建工程，或项目负责人是变更后无在建工程（必须原合同工期已满且变更备案之日已满6个月），或因非承包方原因致使工程项目停工</w:t>
      </w:r>
      <w:r>
        <w:rPr>
          <w:rFonts w:hint="eastAsia"/>
          <w:snapToGrid w:val="0"/>
          <w:color w:val="000000"/>
          <w:kern w:val="32"/>
          <w:szCs w:val="32"/>
        </w:rPr>
        <w:t>超过120天（含），经建设单位同意的</w:t>
      </w:r>
      <w:r>
        <w:rPr>
          <w:snapToGrid w:val="0"/>
          <w:color w:val="000000"/>
          <w:kern w:val="32"/>
          <w:szCs w:val="32"/>
        </w:rPr>
        <w:t>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00BF95D6">
      <w:pPr>
        <w:tabs>
          <w:tab w:val="left" w:pos="0"/>
        </w:tabs>
        <w:spacing w:line="560" w:lineRule="exact"/>
        <w:ind w:firstLine="806" w:firstLineChars="252"/>
        <w:rPr>
          <w:snapToGrid w:val="0"/>
          <w:color w:val="000000"/>
          <w:kern w:val="32"/>
          <w:szCs w:val="32"/>
        </w:rPr>
      </w:pPr>
      <w:r>
        <w:rPr>
          <w:snapToGrid w:val="0"/>
          <w:color w:val="000000"/>
          <w:kern w:val="32"/>
          <w:szCs w:val="32"/>
        </w:rPr>
        <w:t>3．项目负责人无行贿犯罪行为记录；或者有行贿犯罪行为记录，但自记录之日起已超过5年的。</w:t>
      </w:r>
    </w:p>
    <w:p w14:paraId="68AAD0A9">
      <w:pPr>
        <w:tabs>
          <w:tab w:val="left" w:pos="0"/>
        </w:tabs>
        <w:spacing w:line="560" w:lineRule="exact"/>
        <w:ind w:firstLine="646" w:firstLineChars="202"/>
        <w:rPr>
          <w:snapToGrid w:val="0"/>
          <w:color w:val="000000"/>
          <w:kern w:val="32"/>
          <w:szCs w:val="32"/>
        </w:rPr>
      </w:pPr>
      <w:r>
        <w:rPr>
          <w:snapToGrid w:val="0"/>
          <w:color w:val="000000"/>
          <w:kern w:val="32"/>
          <w:szCs w:val="32"/>
        </w:rPr>
        <w:t>（六）资格预审申请人或者投标人不得存在下列情形之一：</w:t>
      </w:r>
    </w:p>
    <w:p w14:paraId="1557A1E3">
      <w:pPr>
        <w:tabs>
          <w:tab w:val="left" w:pos="0"/>
        </w:tabs>
        <w:spacing w:line="560" w:lineRule="exact"/>
        <w:ind w:firstLine="806" w:firstLineChars="252"/>
        <w:rPr>
          <w:snapToGrid w:val="0"/>
          <w:color w:val="000000"/>
          <w:kern w:val="32"/>
          <w:szCs w:val="32"/>
        </w:rPr>
      </w:pPr>
      <w:r>
        <w:rPr>
          <w:snapToGrid w:val="0"/>
          <w:color w:val="000000"/>
          <w:kern w:val="32"/>
          <w:szCs w:val="32"/>
        </w:rPr>
        <w:t>1．为招标人不具有独立法人资格的附属机构（单位）；</w:t>
      </w:r>
    </w:p>
    <w:p w14:paraId="2837AA98">
      <w:pPr>
        <w:tabs>
          <w:tab w:val="left" w:pos="0"/>
        </w:tabs>
        <w:spacing w:line="560" w:lineRule="exact"/>
        <w:ind w:firstLine="806" w:firstLineChars="252"/>
        <w:rPr>
          <w:snapToGrid w:val="0"/>
          <w:color w:val="000000"/>
          <w:kern w:val="32"/>
          <w:szCs w:val="32"/>
        </w:rPr>
      </w:pPr>
      <w:r>
        <w:rPr>
          <w:snapToGrid w:val="0"/>
          <w:color w:val="000000"/>
          <w:kern w:val="32"/>
          <w:szCs w:val="32"/>
        </w:rPr>
        <w:t>2．为本招标项目的监理人、代建人、项目管理人，以及为本招标项目提供招标代理、设计服务的；</w:t>
      </w:r>
    </w:p>
    <w:p w14:paraId="2DAF862F">
      <w:pPr>
        <w:tabs>
          <w:tab w:val="left" w:pos="0"/>
        </w:tabs>
        <w:spacing w:line="560" w:lineRule="exact"/>
        <w:ind w:firstLine="806" w:firstLineChars="252"/>
        <w:rPr>
          <w:snapToGrid w:val="0"/>
          <w:color w:val="000000"/>
          <w:kern w:val="32"/>
          <w:szCs w:val="32"/>
        </w:rPr>
      </w:pPr>
      <w:r>
        <w:rPr>
          <w:snapToGrid w:val="0"/>
          <w:color w:val="000000"/>
          <w:kern w:val="32"/>
          <w:szCs w:val="32"/>
        </w:rPr>
        <w:t>3．与本招标项目的监理人、代建人、招标代理机构同为一个法定代表人的，或者相互控股、参股的；</w:t>
      </w:r>
    </w:p>
    <w:p w14:paraId="40481842">
      <w:pPr>
        <w:tabs>
          <w:tab w:val="left" w:pos="0"/>
        </w:tabs>
        <w:spacing w:line="560" w:lineRule="exact"/>
        <w:ind w:firstLine="806" w:firstLineChars="252"/>
        <w:rPr>
          <w:snapToGrid w:val="0"/>
          <w:color w:val="000000"/>
          <w:kern w:val="32"/>
          <w:szCs w:val="32"/>
        </w:rPr>
      </w:pPr>
      <w:r>
        <w:rPr>
          <w:snapToGrid w:val="0"/>
          <w:color w:val="000000"/>
          <w:kern w:val="32"/>
          <w:szCs w:val="32"/>
        </w:rPr>
        <w:t>4．与招标人存在利害关系可能影响招标公正性的；</w:t>
      </w:r>
    </w:p>
    <w:p w14:paraId="0F1AF733">
      <w:pPr>
        <w:tabs>
          <w:tab w:val="left" w:pos="0"/>
        </w:tabs>
        <w:spacing w:line="560" w:lineRule="exact"/>
        <w:ind w:firstLine="806" w:firstLineChars="252"/>
        <w:rPr>
          <w:snapToGrid w:val="0"/>
          <w:color w:val="000000"/>
          <w:kern w:val="32"/>
          <w:szCs w:val="32"/>
        </w:rPr>
      </w:pPr>
      <w:r>
        <w:rPr>
          <w:snapToGrid w:val="0"/>
          <w:color w:val="000000"/>
          <w:kern w:val="32"/>
          <w:szCs w:val="32"/>
        </w:rPr>
        <w:t>5．单位负责人为同一人或者存在控股、管理关系的不同单位；</w:t>
      </w:r>
    </w:p>
    <w:p w14:paraId="5239AB6C">
      <w:pPr>
        <w:tabs>
          <w:tab w:val="left" w:pos="0"/>
        </w:tabs>
        <w:spacing w:line="560" w:lineRule="exact"/>
        <w:ind w:firstLine="806" w:firstLineChars="252"/>
        <w:rPr>
          <w:snapToGrid w:val="0"/>
          <w:color w:val="000000"/>
          <w:kern w:val="32"/>
          <w:szCs w:val="32"/>
        </w:rPr>
      </w:pPr>
      <w:r>
        <w:rPr>
          <w:snapToGrid w:val="0"/>
          <w:color w:val="000000"/>
          <w:kern w:val="32"/>
          <w:szCs w:val="32"/>
        </w:rPr>
        <w:t>6．处于被责令停业、财产被接管、冻结和破产状态，以及投标资格被取消或者被暂停且在暂停期内；</w:t>
      </w:r>
    </w:p>
    <w:p w14:paraId="2687E365">
      <w:pPr>
        <w:tabs>
          <w:tab w:val="left" w:pos="0"/>
        </w:tabs>
        <w:spacing w:line="560" w:lineRule="exact"/>
        <w:ind w:firstLine="806" w:firstLineChars="252"/>
        <w:rPr>
          <w:snapToGrid w:val="0"/>
          <w:color w:val="000000"/>
          <w:kern w:val="32"/>
          <w:szCs w:val="32"/>
        </w:rPr>
      </w:pPr>
      <w:r>
        <w:rPr>
          <w:snapToGrid w:val="0"/>
          <w:color w:val="000000"/>
          <w:kern w:val="32"/>
          <w:szCs w:val="32"/>
        </w:rPr>
        <w:t>7．因拖欠工人工资或者因发生质量安全事故被有关部门限制在招标项目所在地承接工程的；</w:t>
      </w:r>
    </w:p>
    <w:p w14:paraId="2B2E8D96">
      <w:pPr>
        <w:tabs>
          <w:tab w:val="left" w:pos="0"/>
        </w:tabs>
        <w:spacing w:line="560" w:lineRule="exact"/>
        <w:ind w:firstLine="806" w:firstLineChars="252"/>
        <w:rPr>
          <w:snapToGrid w:val="0"/>
          <w:color w:val="000000"/>
          <w:kern w:val="32"/>
          <w:szCs w:val="32"/>
        </w:rPr>
      </w:pPr>
      <w:r>
        <w:rPr>
          <w:snapToGrid w:val="0"/>
          <w:color w:val="000000"/>
          <w:kern w:val="32"/>
          <w:szCs w:val="32"/>
        </w:rPr>
        <w:t>8．投标人近3年内有行贿犯罪行为且被记录，或者法定代表人有行贿犯罪记录且自记录之日起未超过5年的。</w:t>
      </w:r>
    </w:p>
    <w:p w14:paraId="23BD2FE6">
      <w:pPr>
        <w:tabs>
          <w:tab w:val="left" w:pos="0"/>
        </w:tabs>
        <w:spacing w:line="560" w:lineRule="exact"/>
        <w:ind w:firstLine="646" w:firstLineChars="202"/>
        <w:rPr>
          <w:snapToGrid w:val="0"/>
          <w:color w:val="000000"/>
          <w:kern w:val="32"/>
          <w:szCs w:val="32"/>
        </w:rPr>
      </w:pPr>
      <w:r>
        <w:rPr>
          <w:snapToGrid w:val="0"/>
          <w:color w:val="000000"/>
          <w:kern w:val="32"/>
          <w:szCs w:val="32"/>
        </w:rPr>
        <w:t>（七）不符合法律、法规规定的其他条件。</w:t>
      </w:r>
    </w:p>
    <w:p w14:paraId="3806B75E">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第十一条</w:t>
      </w:r>
      <w:r>
        <w:rPr>
          <w:snapToGrid w:val="0"/>
          <w:color w:val="000000"/>
          <w:kern w:val="32"/>
          <w:szCs w:val="32"/>
        </w:rPr>
        <w:t xml:space="preserve"> 以下条件属于</w:t>
      </w:r>
      <w:bookmarkStart w:id="2" w:name="_Hlk485457906"/>
      <w:r>
        <w:rPr>
          <w:snapToGrid w:val="0"/>
          <w:color w:val="000000"/>
          <w:kern w:val="32"/>
          <w:szCs w:val="32"/>
        </w:rPr>
        <w:t>资格审查可选条件</w:t>
      </w:r>
      <w:bookmarkEnd w:id="2"/>
      <w:r>
        <w:rPr>
          <w:snapToGrid w:val="0"/>
          <w:color w:val="000000"/>
          <w:kern w:val="32"/>
          <w:szCs w:val="32"/>
        </w:rPr>
        <w:t>：</w:t>
      </w:r>
    </w:p>
    <w:p w14:paraId="322077B0">
      <w:pPr>
        <w:tabs>
          <w:tab w:val="left" w:pos="0"/>
        </w:tabs>
        <w:spacing w:line="560" w:lineRule="exact"/>
        <w:ind w:firstLine="646" w:firstLineChars="202"/>
        <w:rPr>
          <w:snapToGrid w:val="0"/>
          <w:color w:val="000000"/>
          <w:kern w:val="32"/>
          <w:szCs w:val="32"/>
        </w:rPr>
      </w:pPr>
      <w:r>
        <w:rPr>
          <w:snapToGrid w:val="0"/>
          <w:color w:val="000000"/>
          <w:kern w:val="32"/>
          <w:szCs w:val="32"/>
        </w:rPr>
        <w:t>（一）企业或者项目负责人承担过类似工程（</w:t>
      </w:r>
      <w:bookmarkStart w:id="3" w:name="_Hlk485468160"/>
      <w:r>
        <w:rPr>
          <w:snapToGrid w:val="0"/>
          <w:color w:val="000000"/>
          <w:kern w:val="32"/>
          <w:szCs w:val="32"/>
        </w:rPr>
        <w:t>类似工程业绩</w:t>
      </w:r>
      <w:bookmarkEnd w:id="3"/>
      <w:r>
        <w:rPr>
          <w:snapToGrid w:val="0"/>
          <w:color w:val="000000"/>
          <w:kern w:val="32"/>
          <w:szCs w:val="32"/>
        </w:rPr>
        <w:t>企业或者项目负责人仅可选1个,时间范围不得少于3年）；</w:t>
      </w:r>
    </w:p>
    <w:p w14:paraId="5FB82FF3">
      <w:pPr>
        <w:tabs>
          <w:tab w:val="left" w:pos="0"/>
        </w:tabs>
        <w:spacing w:line="560" w:lineRule="exact"/>
        <w:ind w:firstLine="646" w:firstLineChars="202"/>
        <w:rPr>
          <w:snapToGrid w:val="0"/>
          <w:color w:val="000000"/>
          <w:kern w:val="32"/>
          <w:szCs w:val="32"/>
        </w:rPr>
      </w:pPr>
      <w:r>
        <w:rPr>
          <w:snapToGrid w:val="0"/>
          <w:color w:val="000000"/>
          <w:kern w:val="32"/>
          <w:szCs w:val="32"/>
        </w:rPr>
        <w:t>（二）企业和拟派项目负责人近2年内没有因串通投标、弄虚作假、以他人名义投标、骗取中标、转包、违法分包等违法行为受到建设等有关部门行政处罚的</w:t>
      </w:r>
      <w:r>
        <w:rPr>
          <w:rFonts w:hint="default"/>
          <w:snapToGrid w:val="0"/>
          <w:color w:val="000000"/>
          <w:kern w:val="32"/>
          <w:szCs w:val="32"/>
        </w:rPr>
        <w:t>或</w:t>
      </w:r>
      <w:r>
        <w:rPr>
          <w:snapToGrid w:val="0"/>
          <w:color w:val="000000"/>
          <w:kern w:val="32"/>
          <w:szCs w:val="32"/>
        </w:rPr>
        <w:t>企业和拟派项目负责人近2年内因串通投标、弄虚作假、以他人名义投标、骗取中标、转包、违法分包等违法行为受到建设等有关部门行政处罚但</w:t>
      </w:r>
      <w:r>
        <w:rPr>
          <w:rFonts w:hint="eastAsia"/>
          <w:snapToGrid w:val="0"/>
          <w:color w:val="000000"/>
          <w:kern w:val="32"/>
          <w:szCs w:val="32"/>
        </w:rPr>
        <w:t>处罚</w:t>
      </w:r>
      <w:r>
        <w:rPr>
          <w:rFonts w:hint="default"/>
          <w:snapToGrid w:val="0"/>
          <w:color w:val="000000"/>
          <w:kern w:val="32"/>
          <w:szCs w:val="32"/>
        </w:rPr>
        <w:t>单位作出信用修复决定的</w:t>
      </w:r>
      <w:r>
        <w:rPr>
          <w:snapToGrid w:val="0"/>
          <w:color w:val="000000"/>
          <w:kern w:val="32"/>
          <w:szCs w:val="32"/>
        </w:rPr>
        <w:t>；</w:t>
      </w:r>
    </w:p>
    <w:p w14:paraId="5F3623FC">
      <w:pPr>
        <w:tabs>
          <w:tab w:val="left" w:pos="0"/>
        </w:tabs>
        <w:spacing w:line="560" w:lineRule="exact"/>
        <w:ind w:firstLine="806" w:firstLineChars="252"/>
        <w:rPr>
          <w:snapToGrid w:val="0"/>
          <w:color w:val="000000"/>
          <w:kern w:val="32"/>
          <w:szCs w:val="32"/>
        </w:rPr>
      </w:pPr>
      <w:r>
        <w:rPr>
          <w:snapToGrid w:val="0"/>
          <w:color w:val="000000"/>
          <w:kern w:val="32"/>
          <w:szCs w:val="32"/>
        </w:rPr>
        <w:t>（三）企业近1年内没有无正当理由放弃中标资格（不含项目负责人多投多中后放弃）、不与招标人订立合同、拒不提供履约担保情形的；</w:t>
      </w:r>
    </w:p>
    <w:p w14:paraId="0D4AF6E2">
      <w:pPr>
        <w:tabs>
          <w:tab w:val="left" w:pos="0"/>
        </w:tabs>
        <w:spacing w:line="560" w:lineRule="exact"/>
        <w:ind w:firstLine="806" w:firstLineChars="252"/>
        <w:rPr>
          <w:snapToGrid w:val="0"/>
          <w:color w:val="000000"/>
          <w:kern w:val="32"/>
          <w:szCs w:val="32"/>
        </w:rPr>
      </w:pPr>
      <w:r>
        <w:rPr>
          <w:snapToGrid w:val="0"/>
          <w:color w:val="000000"/>
          <w:kern w:val="32"/>
          <w:szCs w:val="32"/>
        </w:rPr>
        <w:t>（四）投标人或者拟派项目负责人近五年内在招标人之前的工程中没有履约评价不合格的(履约评价不合格的名单应当在资格预审公告与招标公告中予以明示)。</w:t>
      </w:r>
    </w:p>
    <w:p w14:paraId="2316C918">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第十二条</w:t>
      </w:r>
      <w:r>
        <w:rPr>
          <w:snapToGrid w:val="0"/>
          <w:color w:val="000000"/>
          <w:kern w:val="32"/>
          <w:szCs w:val="32"/>
        </w:rPr>
        <w:t xml:space="preserve"> 采用合格制资格预审的，招标人必须邀请所有资格预审合格的申请人参加投标。</w:t>
      </w:r>
    </w:p>
    <w:p w14:paraId="06088793">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第十三条</w:t>
      </w:r>
      <w:r>
        <w:rPr>
          <w:snapToGrid w:val="0"/>
          <w:color w:val="000000"/>
          <w:kern w:val="32"/>
          <w:szCs w:val="32"/>
        </w:rPr>
        <w:t xml:space="preserve"> 采用有限数量制的，招标人应当制定具体的“有限数量制资格预审办法”，并在招标公告和资格预审文件中明确。可以选取以下部分或全部因素进行评价：</w:t>
      </w:r>
    </w:p>
    <w:p w14:paraId="0C029637">
      <w:pPr>
        <w:tabs>
          <w:tab w:val="left" w:pos="0"/>
        </w:tabs>
        <w:spacing w:line="560" w:lineRule="exact"/>
        <w:ind w:firstLine="646" w:firstLineChars="202"/>
        <w:rPr>
          <w:snapToGrid w:val="0"/>
          <w:color w:val="000000"/>
          <w:kern w:val="32"/>
          <w:szCs w:val="32"/>
        </w:rPr>
      </w:pPr>
      <w:r>
        <w:rPr>
          <w:snapToGrid w:val="0"/>
          <w:color w:val="000000"/>
          <w:kern w:val="32"/>
          <w:szCs w:val="32"/>
        </w:rPr>
        <w:t>（一）财务状况；</w:t>
      </w:r>
    </w:p>
    <w:p w14:paraId="67C7C21C">
      <w:pPr>
        <w:tabs>
          <w:tab w:val="left" w:pos="0"/>
        </w:tabs>
        <w:spacing w:line="560" w:lineRule="exact"/>
        <w:ind w:firstLine="646" w:firstLineChars="202"/>
        <w:rPr>
          <w:snapToGrid w:val="0"/>
          <w:color w:val="000000"/>
          <w:kern w:val="32"/>
          <w:szCs w:val="32"/>
        </w:rPr>
      </w:pPr>
      <w:r>
        <w:rPr>
          <w:snapToGrid w:val="0"/>
          <w:color w:val="000000"/>
          <w:kern w:val="32"/>
          <w:szCs w:val="32"/>
        </w:rPr>
        <w:t>（二）类似项目业绩：企业、项目负责人承担类似工程情况；</w:t>
      </w:r>
    </w:p>
    <w:p w14:paraId="3629E4A2">
      <w:pPr>
        <w:tabs>
          <w:tab w:val="left" w:pos="0"/>
        </w:tabs>
        <w:spacing w:line="560" w:lineRule="exact"/>
        <w:ind w:firstLine="646" w:firstLineChars="202"/>
        <w:rPr>
          <w:snapToGrid w:val="0"/>
          <w:color w:val="000000"/>
          <w:kern w:val="32"/>
          <w:szCs w:val="32"/>
        </w:rPr>
      </w:pPr>
      <w:r>
        <w:rPr>
          <w:snapToGrid w:val="0"/>
          <w:color w:val="000000"/>
          <w:kern w:val="32"/>
          <w:szCs w:val="32"/>
        </w:rPr>
        <w:t>（三）信誉：企业诉讼和仲裁、不良行为等情况，企业获得过“重合同、守信用”称号等；</w:t>
      </w:r>
    </w:p>
    <w:p w14:paraId="2244BE81">
      <w:pPr>
        <w:tabs>
          <w:tab w:val="left" w:pos="0"/>
        </w:tabs>
        <w:spacing w:line="560" w:lineRule="exact"/>
        <w:ind w:firstLine="646" w:firstLineChars="202"/>
        <w:rPr>
          <w:snapToGrid w:val="0"/>
          <w:color w:val="000000"/>
          <w:kern w:val="32"/>
          <w:szCs w:val="32"/>
        </w:rPr>
      </w:pPr>
      <w:r>
        <w:rPr>
          <w:snapToGrid w:val="0"/>
          <w:color w:val="000000"/>
          <w:kern w:val="32"/>
          <w:szCs w:val="32"/>
        </w:rPr>
        <w:t>（四）认证体系：企业通过质量管理体系、环境管理体系、职业安全健康管理体系认证等；</w:t>
      </w:r>
    </w:p>
    <w:p w14:paraId="6EC41FE5">
      <w:pPr>
        <w:tabs>
          <w:tab w:val="left" w:pos="0"/>
        </w:tabs>
        <w:spacing w:line="560" w:lineRule="exact"/>
        <w:ind w:firstLine="646" w:firstLineChars="202"/>
        <w:rPr>
          <w:snapToGrid w:val="0"/>
          <w:color w:val="000000"/>
          <w:kern w:val="32"/>
          <w:szCs w:val="32"/>
        </w:rPr>
      </w:pPr>
      <w:r>
        <w:rPr>
          <w:snapToGrid w:val="0"/>
          <w:color w:val="000000"/>
          <w:kern w:val="32"/>
          <w:szCs w:val="32"/>
        </w:rPr>
        <w:t>（五）</w:t>
      </w:r>
      <w:r>
        <w:rPr>
          <w:snapToGrid w:val="0"/>
          <w:color w:val="000000"/>
          <w:kern w:val="32"/>
          <w:szCs w:val="32"/>
          <w:highlight w:val="lightGray"/>
        </w:rPr>
        <w:t>工程奖项：企业、项目负责人承担类似工程获奖情况</w:t>
      </w:r>
      <w:r>
        <w:rPr>
          <w:rFonts w:hint="default"/>
          <w:snapToGrid w:val="0"/>
          <w:color w:val="000000"/>
          <w:kern w:val="32"/>
          <w:szCs w:val="32"/>
          <w:u w:val="none"/>
        </w:rPr>
        <w:t>；</w:t>
      </w:r>
    </w:p>
    <w:p w14:paraId="042D8307">
      <w:pPr>
        <w:tabs>
          <w:tab w:val="left" w:pos="0"/>
        </w:tabs>
        <w:spacing w:line="560" w:lineRule="exact"/>
        <w:ind w:firstLine="646" w:firstLineChars="202"/>
        <w:rPr>
          <w:snapToGrid w:val="0"/>
          <w:color w:val="000000"/>
          <w:kern w:val="32"/>
          <w:szCs w:val="32"/>
        </w:rPr>
      </w:pPr>
      <w:r>
        <w:rPr>
          <w:snapToGrid w:val="0"/>
          <w:color w:val="000000"/>
          <w:kern w:val="32"/>
          <w:szCs w:val="32"/>
        </w:rPr>
        <w:t>（六）拟派项目负责人进行答辩，无论是书面答辩还是口头答辩，必须“暗标”法进行评审；</w:t>
      </w:r>
    </w:p>
    <w:p w14:paraId="491D187D">
      <w:pPr>
        <w:tabs>
          <w:tab w:val="left" w:pos="0"/>
        </w:tabs>
        <w:spacing w:line="560" w:lineRule="exact"/>
        <w:ind w:firstLine="646" w:firstLineChars="202"/>
        <w:rPr>
          <w:snapToGrid w:val="0"/>
          <w:color w:val="000000"/>
          <w:kern w:val="32"/>
          <w:szCs w:val="32"/>
        </w:rPr>
      </w:pPr>
      <w:r>
        <w:rPr>
          <w:snapToGrid w:val="0"/>
          <w:color w:val="000000"/>
          <w:kern w:val="32"/>
          <w:szCs w:val="32"/>
        </w:rPr>
        <w:t>（七）法律、法规规定的其他内容。</w:t>
      </w:r>
    </w:p>
    <w:p w14:paraId="2E276912">
      <w:pPr>
        <w:tabs>
          <w:tab w:val="left" w:pos="0"/>
        </w:tabs>
        <w:spacing w:line="560" w:lineRule="exact"/>
        <w:ind w:firstLine="646" w:firstLineChars="202"/>
        <w:rPr>
          <w:snapToGrid w:val="0"/>
          <w:color w:val="000000"/>
          <w:kern w:val="32"/>
          <w:szCs w:val="32"/>
        </w:rPr>
      </w:pPr>
      <w:r>
        <w:rPr>
          <w:snapToGrid w:val="0"/>
          <w:color w:val="000000"/>
          <w:kern w:val="32"/>
          <w:szCs w:val="32"/>
        </w:rPr>
        <w:t>各市建设行政主管部门可以结合当地实际，对有限数量制资格预审的评分内容和标准进行细化，制定有限数量制资格预审的实施细则。</w:t>
      </w:r>
    </w:p>
    <w:p w14:paraId="6D657B8E">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第十四条</w:t>
      </w:r>
      <w:r>
        <w:rPr>
          <w:snapToGrid w:val="0"/>
          <w:color w:val="000000"/>
          <w:kern w:val="32"/>
          <w:szCs w:val="32"/>
        </w:rPr>
        <w:t xml:space="preserve"> 采用有限数量制资格预审的，通过资格条件审查的申请人多于9家的，招标人应当按得分由高到低顺序选择不少于9家通过资格预审的申请人参加投标，其通过资格预审不少于9家合格投标人的数量应当在招标公告中明确。</w:t>
      </w:r>
    </w:p>
    <w:p w14:paraId="3FF06483">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第十五条</w:t>
      </w:r>
      <w:r>
        <w:rPr>
          <w:snapToGrid w:val="0"/>
          <w:color w:val="000000"/>
          <w:kern w:val="32"/>
          <w:szCs w:val="32"/>
        </w:rPr>
        <w:t xml:space="preserve"> 资格预审项目招标人未设置企业或者项目负责人承担过类似工程条件，通过资格条件审查的申请人不足9家（少于3家除外）的，招标人应邀请所有通过资格预审的申请人参加投标。</w:t>
      </w:r>
    </w:p>
    <w:p w14:paraId="74A19322">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第十六条</w:t>
      </w:r>
      <w:r>
        <w:rPr>
          <w:snapToGrid w:val="0"/>
          <w:color w:val="000000"/>
          <w:kern w:val="32"/>
          <w:szCs w:val="32"/>
        </w:rPr>
        <w:t xml:space="preserve"> 资格预审项目因招标人设置企业或者项目负责人承担过类似工程业绩，导致资格预审合格的申请人不足9家，招标人应当降低企业承担过类似工程业绩条件（量化指标不超过50%）或者取消项目负责人承担过类似工程业绩条件，改为资格后审重新发布招标公告。</w:t>
      </w:r>
    </w:p>
    <w:p w14:paraId="3D1A4CE0">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第十七条</w:t>
      </w:r>
      <w:r>
        <w:rPr>
          <w:snapToGrid w:val="0"/>
          <w:color w:val="000000"/>
          <w:kern w:val="32"/>
          <w:szCs w:val="32"/>
        </w:rPr>
        <w:t xml:space="preserve"> 招标人编制的资格预审文件或者招标文件不得含有以下内容：</w:t>
      </w:r>
    </w:p>
    <w:p w14:paraId="0C4491D4">
      <w:pPr>
        <w:tabs>
          <w:tab w:val="left" w:pos="0"/>
        </w:tabs>
        <w:spacing w:line="560" w:lineRule="exact"/>
        <w:ind w:firstLine="646" w:firstLineChars="202"/>
        <w:rPr>
          <w:snapToGrid w:val="0"/>
          <w:color w:val="000000"/>
          <w:kern w:val="32"/>
          <w:szCs w:val="32"/>
        </w:rPr>
      </w:pPr>
      <w:r>
        <w:rPr>
          <w:snapToGrid w:val="0"/>
          <w:color w:val="000000"/>
          <w:kern w:val="32"/>
          <w:szCs w:val="32"/>
        </w:rPr>
        <w:t>（一）设定与招标项目的具体特点和实际需要不相适应的资格、技术、商务条件；</w:t>
      </w:r>
    </w:p>
    <w:p w14:paraId="5B28BEBC">
      <w:pPr>
        <w:tabs>
          <w:tab w:val="left" w:pos="0"/>
        </w:tabs>
        <w:spacing w:line="560" w:lineRule="exact"/>
        <w:ind w:firstLine="646" w:firstLineChars="202"/>
        <w:rPr>
          <w:snapToGrid w:val="0"/>
          <w:color w:val="000000"/>
          <w:kern w:val="32"/>
          <w:szCs w:val="32"/>
        </w:rPr>
      </w:pPr>
      <w:r>
        <w:rPr>
          <w:snapToGrid w:val="0"/>
          <w:color w:val="000000"/>
          <w:kern w:val="32"/>
          <w:szCs w:val="32"/>
        </w:rPr>
        <w:t>（二）以特定行政区域或者特定行业的业绩、奖项作为加分或者通过资格审查的条件；</w:t>
      </w:r>
    </w:p>
    <w:p w14:paraId="4DEF949C">
      <w:pPr>
        <w:tabs>
          <w:tab w:val="left" w:pos="0"/>
        </w:tabs>
        <w:spacing w:line="560" w:lineRule="exact"/>
        <w:ind w:firstLine="646" w:firstLineChars="202"/>
        <w:rPr>
          <w:snapToGrid w:val="0"/>
          <w:color w:val="000000"/>
          <w:kern w:val="32"/>
          <w:szCs w:val="32"/>
        </w:rPr>
      </w:pPr>
      <w:r>
        <w:rPr>
          <w:snapToGrid w:val="0"/>
          <w:color w:val="000000"/>
          <w:kern w:val="32"/>
          <w:szCs w:val="32"/>
        </w:rPr>
        <w:t>（三）对潜在投标人或者投标人采用不同的资格审查标准；</w:t>
      </w:r>
    </w:p>
    <w:p w14:paraId="6512E730">
      <w:pPr>
        <w:tabs>
          <w:tab w:val="left" w:pos="0"/>
        </w:tabs>
        <w:spacing w:line="560" w:lineRule="exact"/>
        <w:ind w:firstLine="646" w:firstLineChars="202"/>
        <w:rPr>
          <w:snapToGrid w:val="0"/>
          <w:color w:val="000000"/>
          <w:kern w:val="32"/>
          <w:szCs w:val="32"/>
        </w:rPr>
      </w:pPr>
      <w:r>
        <w:rPr>
          <w:snapToGrid w:val="0"/>
          <w:color w:val="000000"/>
          <w:kern w:val="32"/>
          <w:szCs w:val="32"/>
        </w:rPr>
        <w:t>（四）非法限定潜在投标人或者投标人的所有制形式或者组织形式；</w:t>
      </w:r>
    </w:p>
    <w:p w14:paraId="3894EA44">
      <w:pPr>
        <w:tabs>
          <w:tab w:val="left" w:pos="0"/>
        </w:tabs>
        <w:spacing w:line="560" w:lineRule="exact"/>
        <w:ind w:firstLine="646" w:firstLineChars="202"/>
        <w:rPr>
          <w:snapToGrid w:val="0"/>
          <w:color w:val="000000"/>
          <w:kern w:val="32"/>
          <w:szCs w:val="32"/>
        </w:rPr>
      </w:pPr>
      <w:r>
        <w:rPr>
          <w:snapToGrid w:val="0"/>
          <w:color w:val="000000"/>
          <w:kern w:val="32"/>
          <w:szCs w:val="32"/>
        </w:rPr>
        <w:t>（五）以其他不合理条件限制、排斥潜在投标人或者投标人：</w:t>
      </w:r>
    </w:p>
    <w:p w14:paraId="1C9EE913">
      <w:pPr>
        <w:tabs>
          <w:tab w:val="left" w:pos="0"/>
        </w:tabs>
        <w:spacing w:line="560" w:lineRule="exact"/>
        <w:ind w:firstLine="806" w:firstLineChars="252"/>
        <w:rPr>
          <w:snapToGrid w:val="0"/>
          <w:color w:val="000000"/>
          <w:kern w:val="32"/>
          <w:szCs w:val="32"/>
        </w:rPr>
      </w:pPr>
      <w:r>
        <w:rPr>
          <w:snapToGrid w:val="0"/>
          <w:color w:val="000000"/>
          <w:kern w:val="32"/>
          <w:szCs w:val="32"/>
        </w:rPr>
        <w:t>1．提高潜在投标人、投标人或者项目负责人的资质（资格）等级，对企业注册地提出要求的；</w:t>
      </w:r>
    </w:p>
    <w:p w14:paraId="1A080397">
      <w:pPr>
        <w:tabs>
          <w:tab w:val="left" w:pos="0"/>
        </w:tabs>
        <w:spacing w:line="560" w:lineRule="exact"/>
        <w:ind w:firstLine="806" w:firstLineChars="252"/>
        <w:rPr>
          <w:snapToGrid w:val="0"/>
          <w:color w:val="000000"/>
          <w:kern w:val="32"/>
          <w:szCs w:val="32"/>
        </w:rPr>
      </w:pPr>
      <w:r>
        <w:rPr>
          <w:snapToGrid w:val="0"/>
          <w:color w:val="000000"/>
          <w:kern w:val="32"/>
          <w:szCs w:val="32"/>
        </w:rPr>
        <w:t>2．施工总承包项目，招标人要求投标人同时具备总承包资质承接范围内的专业承包资质的，但钢结构分部工程估算价超过总承包工程项目估算价50%的除外；</w:t>
      </w:r>
    </w:p>
    <w:p w14:paraId="5F1BA808">
      <w:pPr>
        <w:tabs>
          <w:tab w:val="left" w:pos="0"/>
        </w:tabs>
        <w:spacing w:line="560" w:lineRule="exact"/>
        <w:ind w:firstLine="806" w:firstLineChars="252"/>
        <w:rPr>
          <w:snapToGrid w:val="0"/>
          <w:color w:val="000000"/>
          <w:kern w:val="32"/>
          <w:szCs w:val="32"/>
        </w:rPr>
      </w:pPr>
      <w:r>
        <w:rPr>
          <w:snapToGrid w:val="0"/>
          <w:color w:val="000000"/>
          <w:kern w:val="32"/>
          <w:szCs w:val="32"/>
        </w:rPr>
        <w:t>3．专业工程发包，招标人要求投标人同时具备两个及以上的专业承包资质的，不允许联合体参加投标的；</w:t>
      </w:r>
    </w:p>
    <w:p w14:paraId="7D4098C1">
      <w:pPr>
        <w:tabs>
          <w:tab w:val="left" w:pos="0"/>
        </w:tabs>
        <w:spacing w:line="560" w:lineRule="exact"/>
        <w:ind w:firstLine="806" w:firstLineChars="252"/>
        <w:rPr>
          <w:snapToGrid w:val="0"/>
          <w:color w:val="000000"/>
          <w:kern w:val="32"/>
          <w:szCs w:val="32"/>
        </w:rPr>
      </w:pPr>
      <w:r>
        <w:rPr>
          <w:snapToGrid w:val="0"/>
          <w:color w:val="000000"/>
          <w:kern w:val="32"/>
          <w:szCs w:val="32"/>
        </w:rPr>
        <w:t>4．单一的房屋建筑或市政工程总承包招标时,一个招标项目(标段)要求投标人同时具备两个及以上类别的总承包资质的。</w:t>
      </w:r>
    </w:p>
    <w:p w14:paraId="5423D648">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第十八条</w:t>
      </w:r>
      <w:r>
        <w:rPr>
          <w:snapToGrid w:val="0"/>
          <w:color w:val="000000"/>
          <w:kern w:val="32"/>
          <w:szCs w:val="32"/>
        </w:rPr>
        <w:t xml:space="preserve"> 联合体投标的，联合体各成员单位应当具备与联合体协议中约定的分工相适应的施工资质和施工能力。</w:t>
      </w:r>
    </w:p>
    <w:p w14:paraId="473918FB">
      <w:pPr>
        <w:tabs>
          <w:tab w:val="left" w:pos="0"/>
        </w:tabs>
        <w:spacing w:line="560" w:lineRule="exact"/>
        <w:jc w:val="center"/>
        <w:rPr>
          <w:rFonts w:eastAsia="方正黑体_GBK"/>
          <w:snapToGrid w:val="0"/>
          <w:color w:val="000000"/>
          <w:kern w:val="32"/>
          <w:szCs w:val="32"/>
        </w:rPr>
      </w:pPr>
      <w:r>
        <w:rPr>
          <w:rFonts w:eastAsia="方正黑体_GBK"/>
          <w:snapToGrid w:val="0"/>
          <w:color w:val="000000"/>
          <w:kern w:val="32"/>
          <w:szCs w:val="32"/>
        </w:rPr>
        <w:t>第三章 资格审查</w:t>
      </w:r>
    </w:p>
    <w:p w14:paraId="1772C8AE">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第十九条</w:t>
      </w:r>
      <w:r>
        <w:rPr>
          <w:snapToGrid w:val="0"/>
          <w:color w:val="000000"/>
          <w:kern w:val="32"/>
          <w:szCs w:val="32"/>
        </w:rPr>
        <w:t xml:space="preserve"> 申请人应当按照资格预审文件要求在资格预审申请文件的截止时间前提交资格预审申请文件。资格预审开始时间与提交资格预审申请文件的截止时间一致。</w:t>
      </w:r>
    </w:p>
    <w:p w14:paraId="342E0D08">
      <w:pPr>
        <w:tabs>
          <w:tab w:val="left" w:pos="0"/>
        </w:tabs>
        <w:spacing w:line="560" w:lineRule="exact"/>
        <w:ind w:firstLine="646" w:firstLineChars="202"/>
        <w:rPr>
          <w:snapToGrid w:val="0"/>
          <w:color w:val="000000"/>
          <w:kern w:val="32"/>
          <w:szCs w:val="32"/>
        </w:rPr>
      </w:pPr>
      <w:r>
        <w:rPr>
          <w:snapToGrid w:val="0"/>
          <w:color w:val="000000"/>
          <w:kern w:val="32"/>
          <w:szCs w:val="32"/>
        </w:rPr>
        <w:t>在资格预审文件要求提交资格预审申请文件的截止时间后送达的资格预审申请文件，招标人应当拒绝。</w:t>
      </w:r>
    </w:p>
    <w:p w14:paraId="0694B535">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第二十条</w:t>
      </w:r>
      <w:r>
        <w:rPr>
          <w:snapToGrid w:val="0"/>
          <w:color w:val="000000"/>
          <w:kern w:val="32"/>
          <w:szCs w:val="32"/>
        </w:rPr>
        <w:t xml:space="preserve"> 申请人在规定的提交截止时间前，可以对已经提交的资格预审申请文件进行替换或者撤回。</w:t>
      </w:r>
    </w:p>
    <w:p w14:paraId="2718368E">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第二十一条</w:t>
      </w:r>
      <w:r>
        <w:rPr>
          <w:snapToGrid w:val="0"/>
          <w:color w:val="000000"/>
          <w:kern w:val="32"/>
          <w:szCs w:val="32"/>
        </w:rPr>
        <w:t xml:space="preserve"> 招标人采用资格预审方式对申请人进行资格审查的，应当组建资格审查委员会。评审专家应当从省级建设行政主管部门设立的评标专家名册或公共资源综合专家库中随机抽取。资格审查委员会成员名单在评审工作结束前应当保密。</w:t>
      </w:r>
    </w:p>
    <w:p w14:paraId="546AF461">
      <w:pPr>
        <w:tabs>
          <w:tab w:val="left" w:pos="0"/>
        </w:tabs>
        <w:spacing w:line="560" w:lineRule="exact"/>
        <w:ind w:firstLine="646" w:firstLineChars="202"/>
        <w:rPr>
          <w:snapToGrid w:val="0"/>
          <w:color w:val="000000"/>
          <w:kern w:val="32"/>
          <w:szCs w:val="32"/>
        </w:rPr>
      </w:pPr>
      <w:r>
        <w:rPr>
          <w:snapToGrid w:val="0"/>
          <w:color w:val="000000"/>
          <w:kern w:val="32"/>
          <w:szCs w:val="32"/>
        </w:rPr>
        <w:t>招标人采用资格后审方式进行资格审查的，应当在开标后由评标委员会按照招标文件规定的标准和方法对投标人的资格进行审查。</w:t>
      </w:r>
    </w:p>
    <w:p w14:paraId="74C9548D">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第二十二条</w:t>
      </w:r>
      <w:r>
        <w:rPr>
          <w:snapToGrid w:val="0"/>
          <w:color w:val="000000"/>
          <w:kern w:val="32"/>
          <w:szCs w:val="32"/>
        </w:rPr>
        <w:t xml:space="preserve"> 对申请人或投标人的资格审查，应当严格按照资格预审文件或者招标文件中规定的审查标准和办法进行。资格预审文件或者招标文件中没有载明的审查标准和办法不得作为评审的依据。否则，应当责令资格审查委员会重新进行评审。</w:t>
      </w:r>
    </w:p>
    <w:p w14:paraId="1D1B7251">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第二十三条</w:t>
      </w:r>
      <w:r>
        <w:rPr>
          <w:snapToGrid w:val="0"/>
          <w:color w:val="000000"/>
          <w:kern w:val="32"/>
          <w:szCs w:val="32"/>
        </w:rPr>
        <w:t xml:space="preserve"> 对资格预审申请文件中不明确的内容或者缺乏证明材料的，资格审查委员会可以要求申请人进行澄清。澄清应当采用书面形式，并不得改变资格预审申请文件的实质性内容。</w:t>
      </w:r>
    </w:p>
    <w:p w14:paraId="66327E77">
      <w:pPr>
        <w:tabs>
          <w:tab w:val="left" w:pos="0"/>
        </w:tabs>
        <w:spacing w:line="560" w:lineRule="exact"/>
        <w:ind w:firstLine="646" w:firstLineChars="202"/>
        <w:rPr>
          <w:snapToGrid w:val="0"/>
          <w:color w:val="000000"/>
          <w:kern w:val="32"/>
          <w:szCs w:val="32"/>
        </w:rPr>
      </w:pPr>
      <w:r>
        <w:rPr>
          <w:snapToGrid w:val="0"/>
          <w:color w:val="000000"/>
          <w:kern w:val="32"/>
          <w:szCs w:val="32"/>
        </w:rPr>
        <w:t>申请人澄清的内容属于资格预审申请文件的组成部分。</w:t>
      </w:r>
    </w:p>
    <w:p w14:paraId="694E29C9">
      <w:pPr>
        <w:tabs>
          <w:tab w:val="left" w:pos="0"/>
        </w:tabs>
        <w:spacing w:line="560" w:lineRule="exact"/>
        <w:ind w:firstLine="646" w:firstLineChars="202"/>
        <w:rPr>
          <w:snapToGrid w:val="0"/>
          <w:color w:val="000000"/>
          <w:kern w:val="32"/>
          <w:szCs w:val="32"/>
        </w:rPr>
      </w:pPr>
      <w:r>
        <w:rPr>
          <w:snapToGrid w:val="0"/>
          <w:color w:val="000000"/>
          <w:kern w:val="32"/>
          <w:szCs w:val="32"/>
        </w:rPr>
        <w:t>资格审查委员会不接受申请人主动提出的澄清。</w:t>
      </w:r>
    </w:p>
    <w:p w14:paraId="76F31699">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第二十四条</w:t>
      </w:r>
      <w:r>
        <w:rPr>
          <w:snapToGrid w:val="0"/>
          <w:color w:val="000000"/>
          <w:kern w:val="32"/>
          <w:szCs w:val="32"/>
        </w:rPr>
        <w:t xml:space="preserve"> 资格审查委员会在审查申请人的业绩、信誉、主要人员情况等内容时，可以对重要内容进行核实，经核实存在弄虚作假的，不予通过资格审查。</w:t>
      </w:r>
    </w:p>
    <w:p w14:paraId="2BE3D693">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第二十五条</w:t>
      </w:r>
      <w:r>
        <w:rPr>
          <w:snapToGrid w:val="0"/>
          <w:color w:val="000000"/>
          <w:kern w:val="32"/>
          <w:szCs w:val="32"/>
        </w:rPr>
        <w:t xml:space="preserve"> 资格预审的评审工作结束后，由资格审查委员会编制资格评审报告，其内容包括：</w:t>
      </w:r>
    </w:p>
    <w:p w14:paraId="4ADDA296">
      <w:pPr>
        <w:tabs>
          <w:tab w:val="left" w:pos="0"/>
        </w:tabs>
        <w:spacing w:line="560" w:lineRule="exact"/>
        <w:ind w:firstLine="646" w:firstLineChars="202"/>
        <w:rPr>
          <w:snapToGrid w:val="0"/>
          <w:color w:val="000000"/>
          <w:kern w:val="32"/>
          <w:szCs w:val="32"/>
        </w:rPr>
      </w:pPr>
      <w:r>
        <w:rPr>
          <w:snapToGrid w:val="0"/>
          <w:color w:val="000000"/>
          <w:kern w:val="32"/>
          <w:szCs w:val="32"/>
        </w:rPr>
        <w:t>（一）资格审查基本情况；</w:t>
      </w:r>
    </w:p>
    <w:p w14:paraId="25423531">
      <w:pPr>
        <w:tabs>
          <w:tab w:val="left" w:pos="0"/>
        </w:tabs>
        <w:spacing w:line="560" w:lineRule="exact"/>
        <w:ind w:firstLine="646" w:firstLineChars="202"/>
        <w:rPr>
          <w:snapToGrid w:val="0"/>
          <w:color w:val="000000"/>
          <w:kern w:val="32"/>
          <w:szCs w:val="32"/>
        </w:rPr>
      </w:pPr>
      <w:r>
        <w:rPr>
          <w:snapToGrid w:val="0"/>
          <w:color w:val="000000"/>
          <w:kern w:val="32"/>
          <w:szCs w:val="32"/>
        </w:rPr>
        <w:t>（二）申请人未通过资格预审的主要理由及相关证明；</w:t>
      </w:r>
    </w:p>
    <w:p w14:paraId="5982D5A0">
      <w:pPr>
        <w:tabs>
          <w:tab w:val="left" w:pos="0"/>
        </w:tabs>
        <w:spacing w:line="560" w:lineRule="exact"/>
        <w:ind w:firstLine="646" w:firstLineChars="202"/>
        <w:rPr>
          <w:snapToGrid w:val="0"/>
          <w:color w:val="000000"/>
          <w:kern w:val="32"/>
          <w:szCs w:val="32"/>
        </w:rPr>
      </w:pPr>
      <w:r>
        <w:rPr>
          <w:snapToGrid w:val="0"/>
          <w:color w:val="000000"/>
          <w:kern w:val="32"/>
          <w:szCs w:val="32"/>
        </w:rPr>
        <w:t>（三）采用合格制的，提供通过资格预审的申请人名单；采用有限数量制的，提供通过资格预审的申请人排序表名单；</w:t>
      </w:r>
    </w:p>
    <w:p w14:paraId="03898135">
      <w:pPr>
        <w:tabs>
          <w:tab w:val="left" w:pos="0"/>
        </w:tabs>
        <w:spacing w:line="560" w:lineRule="exact"/>
        <w:ind w:firstLine="646" w:firstLineChars="202"/>
        <w:rPr>
          <w:snapToGrid w:val="0"/>
          <w:color w:val="000000"/>
          <w:kern w:val="32"/>
          <w:szCs w:val="32"/>
        </w:rPr>
      </w:pPr>
      <w:r>
        <w:rPr>
          <w:snapToGrid w:val="0"/>
          <w:color w:val="000000"/>
          <w:kern w:val="32"/>
          <w:szCs w:val="32"/>
        </w:rPr>
        <w:t>（四）资格审查记录表等附件。</w:t>
      </w:r>
    </w:p>
    <w:p w14:paraId="623D0170">
      <w:pPr>
        <w:tabs>
          <w:tab w:val="left" w:pos="0"/>
        </w:tabs>
        <w:spacing w:line="560" w:lineRule="exact"/>
        <w:ind w:firstLine="646" w:firstLineChars="202"/>
        <w:rPr>
          <w:snapToGrid w:val="0"/>
          <w:color w:val="000000"/>
          <w:kern w:val="32"/>
          <w:szCs w:val="32"/>
        </w:rPr>
      </w:pPr>
      <w:r>
        <w:rPr>
          <w:snapToGrid w:val="0"/>
          <w:color w:val="000000"/>
          <w:kern w:val="32"/>
          <w:szCs w:val="32"/>
        </w:rPr>
        <w:t>采用资格后审的，评标报告中应当包括对投标人进行资格审查的情况。</w:t>
      </w:r>
    </w:p>
    <w:p w14:paraId="5341049B">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第二十六条</w:t>
      </w:r>
      <w:r>
        <w:rPr>
          <w:snapToGrid w:val="0"/>
          <w:color w:val="000000"/>
          <w:kern w:val="32"/>
          <w:szCs w:val="32"/>
        </w:rPr>
        <w:t xml:space="preserve"> 资格预审结束后，招标人应当及时向申请人发出资格预审结果通知书，并将资格预审报告抄送招投标监管机构，在</w:t>
      </w:r>
      <w:bookmarkStart w:id="4" w:name="_Hlk485482848"/>
      <w:r>
        <w:rPr>
          <w:snapToGrid w:val="0"/>
          <w:color w:val="000000"/>
          <w:kern w:val="32"/>
          <w:szCs w:val="32"/>
        </w:rPr>
        <w:t>资格预审公告发布</w:t>
      </w:r>
      <w:bookmarkEnd w:id="4"/>
      <w:r>
        <w:rPr>
          <w:snapToGrid w:val="0"/>
          <w:color w:val="000000"/>
          <w:kern w:val="32"/>
          <w:szCs w:val="32"/>
        </w:rPr>
        <w:t>媒介上公示资格预审不合格的申请人的名单和原因，公示期不少于3日。</w:t>
      </w:r>
    </w:p>
    <w:p w14:paraId="23BF0F4C">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第二十七条</w:t>
      </w:r>
      <w:r>
        <w:rPr>
          <w:snapToGrid w:val="0"/>
          <w:color w:val="000000"/>
          <w:kern w:val="32"/>
          <w:szCs w:val="32"/>
        </w:rPr>
        <w:t xml:space="preserve"> 资格预审活动中出现下列情况之一的，招标人应当按照相关规定重新组建资格审查委员会进行评审：</w:t>
      </w:r>
    </w:p>
    <w:p w14:paraId="2EF46862">
      <w:pPr>
        <w:tabs>
          <w:tab w:val="left" w:pos="0"/>
        </w:tabs>
        <w:spacing w:line="560" w:lineRule="exact"/>
        <w:ind w:firstLine="646" w:firstLineChars="202"/>
        <w:rPr>
          <w:snapToGrid w:val="0"/>
          <w:color w:val="000000"/>
          <w:kern w:val="32"/>
          <w:szCs w:val="32"/>
        </w:rPr>
      </w:pPr>
      <w:r>
        <w:rPr>
          <w:snapToGrid w:val="0"/>
          <w:color w:val="000000"/>
          <w:kern w:val="32"/>
          <w:szCs w:val="32"/>
        </w:rPr>
        <w:t>（一）使用资格预审文件未规定的评审标准和方法且拒不改正的；</w:t>
      </w:r>
    </w:p>
    <w:p w14:paraId="1103B8DB">
      <w:pPr>
        <w:tabs>
          <w:tab w:val="left" w:pos="0"/>
        </w:tabs>
        <w:spacing w:line="560" w:lineRule="exact"/>
        <w:ind w:firstLine="646" w:firstLineChars="202"/>
        <w:rPr>
          <w:snapToGrid w:val="0"/>
          <w:color w:val="000000"/>
          <w:kern w:val="32"/>
          <w:szCs w:val="32"/>
        </w:rPr>
      </w:pPr>
      <w:r>
        <w:rPr>
          <w:snapToGrid w:val="0"/>
          <w:color w:val="000000"/>
          <w:kern w:val="32"/>
          <w:szCs w:val="32"/>
        </w:rPr>
        <w:t>（二）应当回避担任资格审查委员会成员的人参与评审的；</w:t>
      </w:r>
    </w:p>
    <w:p w14:paraId="079740F5">
      <w:pPr>
        <w:tabs>
          <w:tab w:val="left" w:pos="0"/>
        </w:tabs>
        <w:spacing w:line="560" w:lineRule="exact"/>
        <w:ind w:firstLine="646" w:firstLineChars="202"/>
        <w:rPr>
          <w:snapToGrid w:val="0"/>
          <w:color w:val="000000"/>
          <w:kern w:val="32"/>
          <w:szCs w:val="32"/>
        </w:rPr>
      </w:pPr>
      <w:r>
        <w:rPr>
          <w:snapToGrid w:val="0"/>
          <w:color w:val="000000"/>
          <w:kern w:val="32"/>
          <w:szCs w:val="32"/>
        </w:rPr>
        <w:t>（三）资格审查委员会的组建及人员组成不符合要求的；</w:t>
      </w:r>
    </w:p>
    <w:p w14:paraId="10AEE0A2">
      <w:pPr>
        <w:tabs>
          <w:tab w:val="left" w:pos="0"/>
        </w:tabs>
        <w:spacing w:line="560" w:lineRule="exact"/>
        <w:ind w:firstLine="646" w:firstLineChars="202"/>
        <w:rPr>
          <w:snapToGrid w:val="0"/>
          <w:color w:val="000000"/>
          <w:kern w:val="32"/>
          <w:szCs w:val="32"/>
        </w:rPr>
      </w:pPr>
      <w:r>
        <w:rPr>
          <w:snapToGrid w:val="0"/>
          <w:color w:val="000000"/>
          <w:kern w:val="32"/>
          <w:szCs w:val="32"/>
        </w:rPr>
        <w:t>（四）资格审查委员会及其成员在评审过程中有违法行为，且影响评审结果的；</w:t>
      </w:r>
    </w:p>
    <w:p w14:paraId="534B72FE">
      <w:pPr>
        <w:tabs>
          <w:tab w:val="left" w:pos="0"/>
        </w:tabs>
        <w:spacing w:line="560" w:lineRule="exact"/>
        <w:ind w:firstLine="646" w:firstLineChars="202"/>
        <w:rPr>
          <w:snapToGrid w:val="0"/>
          <w:color w:val="000000"/>
          <w:kern w:val="32"/>
          <w:szCs w:val="32"/>
        </w:rPr>
      </w:pPr>
      <w:r>
        <w:rPr>
          <w:snapToGrid w:val="0"/>
          <w:color w:val="000000"/>
          <w:kern w:val="32"/>
          <w:szCs w:val="32"/>
        </w:rPr>
        <w:t>（五）法律、行政法规规定的其他情况。</w:t>
      </w:r>
    </w:p>
    <w:p w14:paraId="3B507C21">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第二十八条</w:t>
      </w:r>
      <w:r>
        <w:rPr>
          <w:snapToGrid w:val="0"/>
          <w:color w:val="000000"/>
          <w:kern w:val="32"/>
          <w:szCs w:val="32"/>
        </w:rPr>
        <w:t xml:space="preserve"> 投标文件确定的项目负责人与资格预审结果不一致的，采用有限数量制资格预审的，应当在投标文件截止时间前征得招标人书面同意（项目负责人进行答辩的不得更换），并由原资格审查委员会审查确定；采用合格制资格预审的项目，应当在投标文件截止时间前征得招标人书面同意，在评标时，由评标委员会按照资格预审文件规定的标准和方法审查确认。</w:t>
      </w:r>
    </w:p>
    <w:p w14:paraId="381BC505">
      <w:pPr>
        <w:tabs>
          <w:tab w:val="left" w:pos="0"/>
        </w:tabs>
        <w:spacing w:line="560" w:lineRule="exact"/>
        <w:jc w:val="center"/>
        <w:rPr>
          <w:rFonts w:eastAsia="方正黑体_GBK"/>
          <w:snapToGrid w:val="0"/>
          <w:color w:val="000000"/>
          <w:kern w:val="32"/>
          <w:szCs w:val="32"/>
        </w:rPr>
      </w:pPr>
      <w:r>
        <w:rPr>
          <w:rFonts w:eastAsia="方正黑体_GBK"/>
          <w:snapToGrid w:val="0"/>
          <w:color w:val="000000"/>
          <w:kern w:val="32"/>
          <w:szCs w:val="32"/>
        </w:rPr>
        <w:t>第四章 附则</w:t>
      </w:r>
    </w:p>
    <w:p w14:paraId="17E3D6E4">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第二十九条</w:t>
      </w:r>
      <w:r>
        <w:rPr>
          <w:snapToGrid w:val="0"/>
          <w:color w:val="000000"/>
          <w:kern w:val="32"/>
          <w:szCs w:val="32"/>
        </w:rPr>
        <w:t xml:space="preserve"> 投标人存在串通投标、以他人名义投标、弄虚作假等违法违规行为，或者无正当理由放弃投标、中标资格，造成项目招标失败的，不得参加该项目重新招标的投标。</w:t>
      </w:r>
    </w:p>
    <w:p w14:paraId="52BE0938">
      <w:pPr>
        <w:tabs>
          <w:tab w:val="left" w:pos="0"/>
        </w:tabs>
        <w:spacing w:line="560" w:lineRule="exact"/>
        <w:ind w:firstLine="646" w:firstLineChars="202"/>
        <w:rPr>
          <w:snapToGrid w:val="0"/>
          <w:color w:val="000000"/>
          <w:kern w:val="32"/>
          <w:szCs w:val="32"/>
        </w:rPr>
      </w:pPr>
      <w:r>
        <w:rPr>
          <w:rFonts w:ascii="Times New Roman" w:eastAsia="方正楷体_GBK"/>
          <w:snapToGrid w:val="0"/>
          <w:color w:val="000000"/>
          <w:kern w:val="32"/>
          <w:szCs w:val="32"/>
        </w:rPr>
        <w:t>第三十条</w:t>
      </w:r>
      <w:r>
        <w:rPr>
          <w:snapToGrid w:val="0"/>
          <w:color w:val="000000"/>
          <w:kern w:val="32"/>
          <w:szCs w:val="32"/>
        </w:rPr>
        <w:t xml:space="preserve"> 在资格审查活动中，有违反法律、法规、规章行为的，由建设行政主管部门依照法律、法规、规章的规定予以处理或者处罚。</w:t>
      </w:r>
    </w:p>
    <w:p w14:paraId="082CAF8C">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0B0B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方正仿宋_GBK" w:cs="Times New Roman"/>
      <w:kern w:val="2"/>
      <w:sz w:val="3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2024-12-18T09:01:47Z</dcterms:created>
  <dc:creator>Sun</dc:creator>
  <cp:lastModifiedBy>火木</cp:lastModifiedBy>
  <dcterms:modified xsi:type="dcterms:W3CDTF">2024-12-18T09:02:24Z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7AA7B241825844EE90ED406A914C81DE_12</vt:lpwstr>
  </property>
</Properties>
</file>