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70" w:lineRule="exact"/>
        <w:rPr>
          <w:rFonts w:ascii="方正仿宋_GBK" w:eastAsia="方正仿宋_GBK"/>
          <w:sz w:val="32"/>
          <w:szCs w:val="32"/>
        </w:rPr>
      </w:pPr>
      <w:bookmarkStart w:id="0" w:name="_GoBack"/>
      <w:bookmarkEnd w:id="0"/>
    </w:p>
    <w:p>
      <w:pPr>
        <w:spacing w:line="570" w:lineRule="exact"/>
        <w:jc w:val="center"/>
        <w:rPr>
          <w:rFonts w:ascii="方正小标宋_GBK" w:eastAsia="方正小标宋_GBK"/>
          <w:sz w:val="44"/>
          <w:szCs w:val="44"/>
        </w:rPr>
      </w:pPr>
      <w:r>
        <w:rPr>
          <w:rFonts w:hint="eastAsia" w:ascii="方正小标宋_GBK" w:eastAsia="方正小标宋_GBK"/>
          <w:sz w:val="44"/>
          <w:szCs w:val="44"/>
        </w:rPr>
        <w:t>江苏省房屋建筑和市政基础设施工程</w:t>
      </w:r>
    </w:p>
    <w:p>
      <w:pPr>
        <w:spacing w:line="570" w:lineRule="exact"/>
        <w:jc w:val="center"/>
        <w:rPr>
          <w:rFonts w:ascii="方正小标宋_GBK" w:eastAsia="方正小标宋_GBK"/>
          <w:sz w:val="44"/>
          <w:szCs w:val="44"/>
        </w:rPr>
      </w:pPr>
      <w:r>
        <w:rPr>
          <w:rFonts w:hint="eastAsia" w:ascii="方正小标宋_GBK" w:eastAsia="方正小标宋_GBK"/>
          <w:sz w:val="44"/>
          <w:szCs w:val="44"/>
        </w:rPr>
        <w:t>质量缺陷投诉处理管理办法</w:t>
      </w:r>
    </w:p>
    <w:p>
      <w:pPr>
        <w:spacing w:line="570" w:lineRule="exact"/>
        <w:jc w:val="center"/>
        <w:rPr>
          <w:rFonts w:ascii="方正仿宋_GBK" w:eastAsia="方正仿宋_GBK"/>
          <w:sz w:val="32"/>
          <w:szCs w:val="32"/>
        </w:rPr>
      </w:pPr>
      <w:r>
        <w:rPr>
          <w:rFonts w:hint="eastAsia" w:ascii="方正仿宋_GBK" w:eastAsia="方正仿宋_GBK"/>
          <w:sz w:val="32"/>
          <w:szCs w:val="32"/>
        </w:rPr>
        <w:t>（征求意见稿）</w:t>
      </w:r>
    </w:p>
    <w:p>
      <w:pPr>
        <w:spacing w:line="570" w:lineRule="exact"/>
        <w:ind w:firstLine="640" w:firstLineChars="200"/>
        <w:rPr>
          <w:rFonts w:ascii="方正仿宋_GBK" w:eastAsia="方正仿宋_GBK"/>
          <w:sz w:val="32"/>
          <w:szCs w:val="32"/>
        </w:rPr>
      </w:pPr>
    </w:p>
    <w:p>
      <w:pPr>
        <w:spacing w:line="570" w:lineRule="exact"/>
        <w:ind w:firstLine="643" w:firstLineChars="200"/>
        <w:rPr>
          <w:rFonts w:ascii="方正仿宋_GBK" w:eastAsia="方正仿宋_GBK"/>
          <w:sz w:val="32"/>
          <w:szCs w:val="32"/>
        </w:rPr>
      </w:pPr>
      <w:r>
        <w:rPr>
          <w:rFonts w:hint="eastAsia" w:ascii="方正仿宋_GBK" w:eastAsia="方正仿宋_GBK"/>
          <w:b/>
          <w:sz w:val="32"/>
          <w:szCs w:val="32"/>
        </w:rPr>
        <w:t>第一条[目的和依据</w:t>
      </w:r>
      <w:r>
        <w:rPr>
          <w:rFonts w:ascii="方正仿宋_GBK" w:eastAsia="方正仿宋_GBK"/>
          <w:b/>
          <w:sz w:val="32"/>
          <w:szCs w:val="32"/>
        </w:rPr>
        <w:t>]</w:t>
      </w:r>
      <w:r>
        <w:rPr>
          <w:rFonts w:hint="eastAsia" w:ascii="方正仿宋_GBK" w:eastAsia="方正仿宋_GBK"/>
          <w:sz w:val="32"/>
          <w:szCs w:val="32"/>
        </w:rPr>
        <w:t xml:space="preserve"> 为加强我省房屋建筑和市政基础设施工程（以下简称工程）质量管理工作，减少工程质量纠纷，维护当事人合法权益，进一步规范工程质量缺陷投诉处理工作，根据《建设工程质量管理条例》《房屋建筑工程质量保修办法》《建设工程质量投诉处理暂行规定》等法律法规规定，结合本省实际，制定本办法。</w:t>
      </w:r>
    </w:p>
    <w:p>
      <w:pPr>
        <w:spacing w:line="570" w:lineRule="exact"/>
        <w:ind w:firstLine="643" w:firstLineChars="200"/>
        <w:rPr>
          <w:rFonts w:ascii="方正仿宋_GBK" w:eastAsia="方正仿宋_GBK"/>
          <w:sz w:val="32"/>
          <w:szCs w:val="32"/>
        </w:rPr>
      </w:pPr>
      <w:r>
        <w:rPr>
          <w:rFonts w:hint="eastAsia" w:ascii="方正仿宋_GBK" w:eastAsia="方正仿宋_GBK"/>
          <w:b/>
          <w:sz w:val="32"/>
          <w:szCs w:val="32"/>
        </w:rPr>
        <w:t>第二条[适用范围]</w:t>
      </w:r>
      <w:r>
        <w:rPr>
          <w:rFonts w:hint="eastAsia" w:ascii="方正仿宋_GBK" w:eastAsia="方正仿宋_GBK"/>
          <w:sz w:val="32"/>
          <w:szCs w:val="32"/>
        </w:rPr>
        <w:t xml:space="preserve"> 本办法适用于本省行政区域内新建、改建、扩建的工程在建设过程中和保修期内发生的工程质量缺陷的投诉处理活动。</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保修范围、保修期限依据法律法规规定和施工合同约定具体确定。</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本办法所称工程质量缺陷，是指工程质量不符合工程建设强制性标准以及施工合同的约定。</w:t>
      </w:r>
    </w:p>
    <w:p>
      <w:pPr>
        <w:spacing w:line="570" w:lineRule="exact"/>
        <w:ind w:firstLine="643" w:firstLineChars="200"/>
        <w:rPr>
          <w:rFonts w:ascii="方正仿宋_GBK" w:eastAsia="方正仿宋_GBK"/>
          <w:sz w:val="32"/>
          <w:szCs w:val="32"/>
        </w:rPr>
      </w:pPr>
      <w:r>
        <w:rPr>
          <w:rFonts w:hint="eastAsia" w:ascii="方正仿宋_GBK" w:eastAsia="方正仿宋_GBK"/>
          <w:b/>
          <w:sz w:val="32"/>
          <w:szCs w:val="32"/>
        </w:rPr>
        <w:t xml:space="preserve">第三条[投诉定义] </w:t>
      </w:r>
      <w:r>
        <w:rPr>
          <w:rFonts w:hint="eastAsia" w:ascii="方正仿宋_GBK" w:eastAsia="方正仿宋_GBK"/>
          <w:sz w:val="32"/>
          <w:szCs w:val="32"/>
        </w:rPr>
        <w:t>本办法所称工程质量缺陷投诉，是指公民、法人或者其他组织通过信息网络、书信、传真、电话、走访等形式，对涉及自身生命财产安全、侵害自身合法权益的工程质量缺陷，或者涉及危害公共利益、公众安全的工程质量缺陷，向工程所在地住房城乡建设行政主管部门请求处理的行为。</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采用前款规定的形式，提出诉求的公民、法人或者其他组织，称投诉人。</w:t>
      </w:r>
    </w:p>
    <w:p>
      <w:pPr>
        <w:spacing w:line="570" w:lineRule="exact"/>
        <w:ind w:firstLine="643" w:firstLineChars="200"/>
        <w:rPr>
          <w:rFonts w:ascii="方正仿宋_GBK" w:eastAsia="方正仿宋_GBK"/>
          <w:sz w:val="32"/>
          <w:szCs w:val="32"/>
        </w:rPr>
      </w:pPr>
      <w:r>
        <w:rPr>
          <w:rFonts w:hint="eastAsia" w:ascii="方正仿宋_GBK" w:eastAsia="方正仿宋_GBK"/>
          <w:b/>
          <w:sz w:val="32"/>
          <w:szCs w:val="32"/>
        </w:rPr>
        <w:t>第四条[基本原则]</w:t>
      </w:r>
      <w:r>
        <w:rPr>
          <w:rFonts w:hint="eastAsia" w:ascii="方正仿宋_GBK" w:eastAsia="方正仿宋_GBK"/>
          <w:sz w:val="32"/>
          <w:szCs w:val="32"/>
        </w:rPr>
        <w:t xml:space="preserve"> 工程质量缺陷投诉处理工作应当坚持属地管理、分级负责，谁主管、谁负责，依法依规、客观公正、便民高效，处理实际问题和疏导教育相结合的原则。</w:t>
      </w:r>
    </w:p>
    <w:p>
      <w:pPr>
        <w:spacing w:line="570" w:lineRule="exact"/>
        <w:ind w:firstLine="643" w:firstLineChars="200"/>
        <w:rPr>
          <w:rFonts w:ascii="方正仿宋_GBK" w:eastAsia="方正仿宋_GBK"/>
          <w:sz w:val="32"/>
          <w:szCs w:val="32"/>
        </w:rPr>
      </w:pPr>
      <w:r>
        <w:rPr>
          <w:rFonts w:hint="eastAsia" w:ascii="方正仿宋_GBK" w:eastAsia="方正仿宋_GBK"/>
          <w:b/>
          <w:sz w:val="32"/>
          <w:szCs w:val="32"/>
        </w:rPr>
        <w:t>第五条[职责分工]</w:t>
      </w:r>
      <w:r>
        <w:rPr>
          <w:rFonts w:hint="eastAsia" w:ascii="方正仿宋_GBK" w:eastAsia="方正仿宋_GBK"/>
          <w:sz w:val="32"/>
          <w:szCs w:val="32"/>
        </w:rPr>
        <w:t xml:space="preserve"> 省住房城乡建设行政主管部门负责指导和督促全省范围内的工程质量缺陷投诉处理工作；对有重大影响的工程质量缺陷投诉的处理工作进行督办。各设区市、县（市、区）住房城乡建设行政主管部门负责本行政区域内的工程质量缺陷投诉处理工作。具体的工程质量缺陷投诉处理工作可以委托建设工程质量监督机构实施。</w:t>
      </w:r>
    </w:p>
    <w:p>
      <w:pPr>
        <w:spacing w:line="570" w:lineRule="exact"/>
        <w:ind w:firstLine="643" w:firstLineChars="200"/>
        <w:rPr>
          <w:rFonts w:ascii="方正仿宋_GBK" w:eastAsia="方正仿宋_GBK"/>
          <w:sz w:val="32"/>
          <w:szCs w:val="32"/>
        </w:rPr>
      </w:pPr>
      <w:r>
        <w:rPr>
          <w:rFonts w:hint="eastAsia" w:ascii="方正仿宋_GBK" w:eastAsia="方正仿宋_GBK"/>
          <w:b/>
          <w:sz w:val="32"/>
          <w:szCs w:val="32"/>
        </w:rPr>
        <w:t>第六条[投诉的提出]</w:t>
      </w:r>
      <w:r>
        <w:rPr>
          <w:rFonts w:hint="eastAsia" w:ascii="方正仿宋_GBK" w:eastAsia="方正仿宋_GBK"/>
          <w:sz w:val="32"/>
          <w:szCs w:val="32"/>
        </w:rPr>
        <w:t xml:space="preserve"> 投诉人在投诉时应当使用真实姓名（名称），写明通信地址、联系电话以及请求、事实、理由。就同一事项集体投诉的，应当推选代表，代表人数不超过五人。投诉人可以书面委托代理人代为提出投诉并参与投诉处理活动。</w:t>
      </w:r>
    </w:p>
    <w:p>
      <w:pPr>
        <w:spacing w:line="570" w:lineRule="exact"/>
        <w:ind w:firstLine="643" w:firstLineChars="200"/>
        <w:rPr>
          <w:rFonts w:ascii="方正仿宋_GBK" w:eastAsia="方正仿宋_GBK"/>
          <w:sz w:val="32"/>
          <w:szCs w:val="32"/>
        </w:rPr>
      </w:pPr>
      <w:r>
        <w:rPr>
          <w:rFonts w:hint="eastAsia" w:ascii="方正仿宋_GBK" w:eastAsia="方正仿宋_GBK"/>
          <w:b/>
          <w:sz w:val="32"/>
          <w:szCs w:val="32"/>
        </w:rPr>
        <w:t>第七条[投诉人义务]</w:t>
      </w:r>
      <w:r>
        <w:rPr>
          <w:rFonts w:hint="eastAsia" w:ascii="方正仿宋_GBK" w:eastAsia="方正仿宋_GBK"/>
          <w:sz w:val="32"/>
          <w:szCs w:val="32"/>
        </w:rPr>
        <w:t xml:space="preserve"> 投诉人应当客观真实地反映投诉的问题，对所提供材料内容的真实性负责，并且提供工程质量缺陷危及自身生命财产安全、侵害自身合法权益或者危及公共利益、公众安全的证据，不得捏造、歪曲事实，不得诬告、陷害他人。应当配合住房城乡建设行政主管部门对工程质量缺陷投诉的调查、核实和处理工作。</w:t>
      </w:r>
    </w:p>
    <w:p>
      <w:pPr>
        <w:spacing w:line="570" w:lineRule="exact"/>
        <w:ind w:firstLine="643" w:firstLineChars="200"/>
        <w:rPr>
          <w:rFonts w:ascii="方正仿宋_GBK" w:eastAsia="方正仿宋_GBK"/>
          <w:sz w:val="32"/>
          <w:szCs w:val="32"/>
        </w:rPr>
      </w:pPr>
      <w:r>
        <w:rPr>
          <w:rFonts w:hint="eastAsia" w:ascii="方正仿宋_GBK" w:eastAsia="方正仿宋_GBK"/>
          <w:b/>
          <w:sz w:val="32"/>
          <w:szCs w:val="32"/>
        </w:rPr>
        <w:t>第八条[不予受理的情形]</w:t>
      </w:r>
      <w:r>
        <w:rPr>
          <w:rFonts w:hint="eastAsia" w:ascii="方正仿宋_GBK" w:eastAsia="方正仿宋_GBK"/>
          <w:sz w:val="32"/>
          <w:szCs w:val="32"/>
        </w:rPr>
        <w:t xml:space="preserve"> 有下列情形之一的，不属于工程质量缺陷投诉处理工作的受理范围：</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（一）投诉属于其他部门职责范围的。</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（二）未提供工程质量缺陷事实证明的。</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（三）超出施工单位对建设单位依照法律法规规定和合同约定具体确定的工程保修范围、保修期限的工程质量问题。</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（四）工程交付后，因使用不当或者第三方造成的工程质量问题。</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（五）因不可抗力导致的工程质量问题。</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（六）工程质量缺陷投诉中的经济纠纷。</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（七）商品房买卖合同纠纷中与工程质量缺陷无关的争议。</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（八）已受理并正在处理中的投诉或者投诉办结后就同一事实进行的重复投诉。</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（九）已经通过或者依法应当通过诉讼、仲裁、行政复议等法定途径解决的事项。</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（十）其他不符合本办法第三条规定的投诉。</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对不属于受理范围的投诉，应当向投诉人说明不予受理的理由，视情况告知投诉人可以反映问题的渠道，做好解释、疏导等工作。</w:t>
      </w:r>
    </w:p>
    <w:p>
      <w:pPr>
        <w:spacing w:line="570" w:lineRule="exact"/>
        <w:ind w:firstLine="643" w:firstLineChars="200"/>
        <w:rPr>
          <w:rFonts w:ascii="方正仿宋_GBK" w:eastAsia="方正仿宋_GBK"/>
          <w:sz w:val="32"/>
          <w:szCs w:val="32"/>
        </w:rPr>
      </w:pPr>
      <w:r>
        <w:rPr>
          <w:rFonts w:hint="eastAsia" w:ascii="方正仿宋_GBK" w:eastAsia="方正仿宋_GBK"/>
          <w:b/>
          <w:sz w:val="32"/>
          <w:szCs w:val="32"/>
        </w:rPr>
        <w:t xml:space="preserve">第九条[受理后的处理] </w:t>
      </w:r>
      <w:r>
        <w:rPr>
          <w:rFonts w:hint="eastAsia" w:ascii="方正仿宋_GBK" w:eastAsia="方正仿宋_GBK"/>
          <w:sz w:val="32"/>
          <w:szCs w:val="32"/>
        </w:rPr>
        <w:t>住房城乡建设行政主管部门受理投诉后，按照以下程序做好处理工作：</w:t>
      </w:r>
    </w:p>
    <w:p>
      <w:pPr>
        <w:numPr>
          <w:ilvl w:val="255"/>
          <w:numId w:val="0"/>
        </w:num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（一）确定承办人。根据工程质量缺陷投诉的复杂程度、所反映的工程质量缺陷的严重程度等，可以组建多人承办的工作小组，并明确职责分工。承办人与投诉事项或者当事人有直接利害关系的，应当回避。</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（二）调查核实投诉问题。查阅有关资料，向当事人、知情人询问情况、听取意见，必要时应当对工程质量缺陷的事实进行现场调查、核实。</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（三）处理工程质量缺陷。</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1. 对于事实清楚、责任明确，返工、修理、修复方式简单的工程质量缺陷，可以采用简易方式处理投诉，责成责任单位限期处理。</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2．对于涉及工程主体结构安全和主要使用功能的，或者责任难以界定的工程质量缺陷：需要进行验算的，应当委托原设计单位或者经各方当事人认可的、具有相应资质的设计单位进行验算；需要进行检测的，应当委托经各方当事人认可的、具有相应资质的工程质量检测机构进行检测；需要进行鉴定的，应当委托经各方当事人认可的、具备相应能力的鉴定机构进行鉴定。其中，对于技术复杂、处理难度较大的工程质量缺陷，除进行必要的验算、检测、鉴定外，还应当组织专家论证，形成论证意见。设计单位应当根据验算、检测、鉴定结果以及专家论证意见提出处理方案。住房城乡建设行政主管部门应当制作投诉处理意见书，责成责任单位限期处理。</w:t>
      </w:r>
    </w:p>
    <w:p>
      <w:pPr>
        <w:numPr>
          <w:ilvl w:val="0"/>
          <w:numId w:val="1"/>
        </w:num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办结。责任单位返工、修理、修复完成，投诉处理完毕。责任单位拒不履行保修义务的，依照《建设工程质量管理条例》等规定实施行政处罚。</w:t>
      </w:r>
    </w:p>
    <w:p>
      <w:pPr>
        <w:spacing w:line="570" w:lineRule="exact"/>
        <w:ind w:firstLine="643" w:firstLineChars="200"/>
        <w:rPr>
          <w:rFonts w:ascii="方正仿宋_GBK" w:eastAsia="方正仿宋_GBK"/>
          <w:sz w:val="32"/>
          <w:szCs w:val="32"/>
        </w:rPr>
      </w:pPr>
      <w:r>
        <w:rPr>
          <w:rFonts w:hint="eastAsia" w:ascii="方正仿宋_GBK" w:eastAsia="方正仿宋_GBK"/>
          <w:b/>
          <w:sz w:val="32"/>
          <w:szCs w:val="32"/>
        </w:rPr>
        <w:t xml:space="preserve">第十条[终止处理] </w:t>
      </w:r>
      <w:r>
        <w:rPr>
          <w:rFonts w:hint="eastAsia" w:ascii="方正仿宋_GBK" w:eastAsia="方正仿宋_GBK"/>
          <w:sz w:val="32"/>
          <w:szCs w:val="32"/>
        </w:rPr>
        <w:t>投诉处理过程中，有下列情形之一的，住房城乡建设行政主管部门可以终止投诉处理工作：</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（一）经核实，所投诉的工程质量缺陷不真实的。</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（二）经核实，投诉属于本办法第八条规定的不予受理范围的。</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（三）投诉人撤回投诉的。</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（四）当事人提起诉讼、申请仲裁或者申请行政复议的。</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（五）投诉人不配合，致使被投诉人责任无法认定或者责任单位无法实施工程质量缺陷返工、修理、修复的。</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（六）涉及第三方利益，且因第三方不配合、致使被投诉人责任无法认定或者责任单位无法实施工程质量缺陷返工、修理、修复的。</w:t>
      </w:r>
    </w:p>
    <w:p>
      <w:pPr>
        <w:spacing w:line="570" w:lineRule="exact"/>
        <w:ind w:firstLine="640" w:firstLineChars="200"/>
        <w:rPr>
          <w:rFonts w:ascii="方正仿宋_GBK" w:eastAsia="方正仿宋_GBK"/>
          <w:sz w:val="32"/>
          <w:szCs w:val="32"/>
        </w:rPr>
      </w:pPr>
      <w:r>
        <w:rPr>
          <w:rFonts w:hint="eastAsia" w:ascii="方正仿宋_GBK" w:eastAsia="方正仿宋_GBK"/>
          <w:sz w:val="32"/>
          <w:szCs w:val="32"/>
        </w:rPr>
        <w:t>终止投诉处理工作的，应当向投诉人说明终止的理由，做好解释、疏导等工作。</w:t>
      </w:r>
    </w:p>
    <w:p>
      <w:pPr>
        <w:spacing w:line="570" w:lineRule="exact"/>
        <w:ind w:firstLine="643" w:firstLineChars="200"/>
        <w:rPr>
          <w:rFonts w:ascii="方正仿宋_GBK" w:eastAsia="方正仿宋_GBK"/>
          <w:sz w:val="32"/>
          <w:szCs w:val="32"/>
        </w:rPr>
      </w:pPr>
      <w:r>
        <w:rPr>
          <w:rFonts w:hint="eastAsia" w:ascii="方正仿宋_GBK" w:eastAsia="方正仿宋_GBK"/>
          <w:b/>
          <w:sz w:val="32"/>
          <w:szCs w:val="32"/>
        </w:rPr>
        <w:t>第十一条[违法违规行为的处理]</w:t>
      </w:r>
      <w:r>
        <w:rPr>
          <w:rFonts w:hint="eastAsia" w:ascii="方正仿宋_GBK" w:eastAsia="方正仿宋_GBK"/>
          <w:sz w:val="32"/>
          <w:szCs w:val="32"/>
        </w:rPr>
        <w:t>投诉处理过程中发现存在其他违反工程质量管理法律、法规、规章和工程建设强制性标准行为的，应当依照有关法律法规规定进行查处；发现涉嫌违法犯罪线索的，移送有关司法机关处理。</w:t>
      </w:r>
    </w:p>
    <w:p>
      <w:pPr>
        <w:spacing w:line="570" w:lineRule="exact"/>
        <w:ind w:firstLine="643" w:firstLineChars="200"/>
        <w:rPr>
          <w:rFonts w:ascii="方正仿宋_GBK" w:eastAsia="方正仿宋_GBK"/>
          <w:b/>
          <w:sz w:val="32"/>
          <w:szCs w:val="32"/>
        </w:rPr>
      </w:pPr>
      <w:r>
        <w:rPr>
          <w:rFonts w:hint="eastAsia" w:ascii="方正仿宋_GBK" w:eastAsia="方正仿宋_GBK"/>
          <w:b/>
          <w:sz w:val="32"/>
          <w:szCs w:val="32"/>
        </w:rPr>
        <w:t>第十二条[参建各方责任]</w:t>
      </w:r>
      <w:r>
        <w:rPr>
          <w:rFonts w:hint="eastAsia" w:ascii="方正仿宋_GBK" w:eastAsia="方正仿宋_GBK"/>
          <w:sz w:val="32"/>
          <w:szCs w:val="32"/>
        </w:rPr>
        <w:t xml:space="preserve"> 建设、勘察、设计、施工、监理等单位应当配合住房城乡建设行政主管部门对工程质量缺陷投诉的调查、核实和处理工作。</w:t>
      </w:r>
    </w:p>
    <w:p>
      <w:pPr>
        <w:spacing w:line="570" w:lineRule="exact"/>
        <w:ind w:firstLine="643" w:firstLineChars="200"/>
        <w:rPr>
          <w:rFonts w:ascii="方正仿宋_GBK" w:eastAsia="方正仿宋_GBK"/>
          <w:sz w:val="32"/>
          <w:szCs w:val="32"/>
        </w:rPr>
      </w:pPr>
      <w:r>
        <w:rPr>
          <w:rFonts w:hint="eastAsia" w:ascii="方正仿宋_GBK" w:eastAsia="方正仿宋_GBK"/>
          <w:b/>
          <w:sz w:val="32"/>
          <w:szCs w:val="32"/>
        </w:rPr>
        <w:t>第十三条[有关费用]</w:t>
      </w:r>
      <w:r>
        <w:rPr>
          <w:rFonts w:hint="eastAsia" w:ascii="方正仿宋_GBK" w:eastAsia="方正仿宋_GBK"/>
          <w:sz w:val="32"/>
          <w:szCs w:val="32"/>
        </w:rPr>
        <w:t xml:space="preserve"> 检测、鉴定等费用的支付由各方当事人协商解决；无法达成一致意见的，由要求提出方先行垫付，明确工程质量缺陷的责任归属后，由责任方承担。</w:t>
      </w:r>
    </w:p>
    <w:p>
      <w:pPr>
        <w:spacing w:line="570" w:lineRule="exact"/>
        <w:ind w:firstLine="643" w:firstLineChars="200"/>
        <w:rPr>
          <w:rFonts w:ascii="方正仿宋_GBK" w:eastAsia="方正仿宋_GBK"/>
          <w:sz w:val="32"/>
          <w:szCs w:val="32"/>
        </w:rPr>
      </w:pPr>
      <w:r>
        <w:rPr>
          <w:rFonts w:hint="eastAsia" w:ascii="方正仿宋_GBK" w:eastAsia="方正仿宋_GBK"/>
          <w:b/>
          <w:sz w:val="32"/>
          <w:szCs w:val="32"/>
        </w:rPr>
        <w:t>第十四条[政府部门责任]</w:t>
      </w:r>
      <w:r>
        <w:rPr>
          <w:rFonts w:hint="eastAsia" w:ascii="方正仿宋_GBK" w:eastAsia="方正仿宋_GBK"/>
          <w:sz w:val="32"/>
          <w:szCs w:val="32"/>
        </w:rPr>
        <w:t xml:space="preserve"> 各级住房城乡建设行政主管部门应当畅通投诉渠道，认真对待、妥善处理工程质量缺陷投诉。对在投诉处理工作中做出突出成绩的单位和个人，要给予表扬鼓励。对在投诉处理工作中推诿、敷衍、拖延的单位及人员，要给予批评教育。</w:t>
      </w:r>
    </w:p>
    <w:p>
      <w:pPr>
        <w:spacing w:line="570" w:lineRule="exact"/>
        <w:ind w:firstLine="643" w:firstLineChars="200"/>
        <w:rPr>
          <w:rFonts w:ascii="方正仿宋_GBK" w:eastAsia="方正仿宋_GBK"/>
          <w:sz w:val="32"/>
          <w:szCs w:val="32"/>
        </w:rPr>
      </w:pPr>
      <w:r>
        <w:rPr>
          <w:rFonts w:hint="eastAsia" w:ascii="方正仿宋_GBK" w:eastAsia="方正仿宋_GBK"/>
          <w:b/>
          <w:sz w:val="32"/>
          <w:szCs w:val="32"/>
        </w:rPr>
        <w:t>第十五条[档案管理]</w:t>
      </w:r>
      <w:r>
        <w:rPr>
          <w:rFonts w:hint="eastAsia" w:ascii="方正仿宋_GBK" w:eastAsia="方正仿宋_GBK"/>
          <w:sz w:val="32"/>
          <w:szCs w:val="32"/>
        </w:rPr>
        <w:t>各级住房城乡建设行政主管部门应当做好工程质量缺陷投诉处理过程中的档案管理，立卷归档，留档备查。</w:t>
      </w:r>
    </w:p>
    <w:p>
      <w:pPr>
        <w:spacing w:line="570" w:lineRule="exact"/>
        <w:ind w:firstLine="643" w:firstLineChars="200"/>
        <w:rPr>
          <w:rFonts w:ascii="方正仿宋_GBK" w:eastAsia="方正仿宋_GBK"/>
          <w:sz w:val="32"/>
          <w:szCs w:val="32"/>
        </w:rPr>
      </w:pPr>
      <w:r>
        <w:rPr>
          <w:rFonts w:hint="eastAsia" w:ascii="方正仿宋_GBK" w:eastAsia="方正仿宋_GBK"/>
          <w:b/>
          <w:sz w:val="32"/>
          <w:szCs w:val="32"/>
        </w:rPr>
        <w:t xml:space="preserve">第十六条[统计分析] </w:t>
      </w:r>
      <w:r>
        <w:rPr>
          <w:rFonts w:hint="eastAsia" w:ascii="方正仿宋_GBK" w:eastAsia="方正仿宋_GBK"/>
          <w:sz w:val="32"/>
          <w:szCs w:val="32"/>
        </w:rPr>
        <w:t>各级住房城乡建设行政主管部门应当建立工程质量缺陷投诉统计分析制度，及时分析问题、总结经验，持续提升工程质量缺陷投诉处理工作能力和水平。</w:t>
      </w:r>
    </w:p>
    <w:p>
      <w:pPr>
        <w:spacing w:line="570" w:lineRule="exact"/>
        <w:ind w:firstLine="643" w:firstLineChars="200"/>
        <w:rPr>
          <w:rFonts w:ascii="方正仿宋_GBK" w:eastAsia="方正仿宋_GBK"/>
          <w:sz w:val="32"/>
          <w:szCs w:val="32"/>
        </w:rPr>
      </w:pPr>
      <w:r>
        <w:rPr>
          <w:rFonts w:hint="eastAsia" w:ascii="方正仿宋_GBK" w:eastAsia="方正仿宋_GBK"/>
          <w:b/>
          <w:sz w:val="32"/>
          <w:szCs w:val="32"/>
        </w:rPr>
        <w:t xml:space="preserve">第十七条[其他渠道] </w:t>
      </w:r>
      <w:r>
        <w:rPr>
          <w:rFonts w:hint="eastAsia" w:ascii="方正仿宋_GBK" w:eastAsia="方正仿宋_GBK"/>
          <w:sz w:val="32"/>
          <w:szCs w:val="32"/>
        </w:rPr>
        <w:t>通过信访转送、各类政务平台派发等渠道提出的本办法第三条规定的工程质量缺陷投诉，按照本办法规定处理。</w:t>
      </w:r>
    </w:p>
    <w:p>
      <w:pPr>
        <w:spacing w:line="570" w:lineRule="exact"/>
        <w:ind w:firstLine="643" w:firstLineChars="200"/>
        <w:rPr>
          <w:rFonts w:ascii="方正仿宋_GBK" w:eastAsia="方正仿宋_GBK"/>
          <w:sz w:val="32"/>
          <w:szCs w:val="32"/>
        </w:rPr>
      </w:pPr>
      <w:r>
        <w:rPr>
          <w:rFonts w:hint="eastAsia" w:ascii="方正仿宋_GBK" w:eastAsia="方正仿宋_GBK"/>
          <w:b/>
          <w:sz w:val="32"/>
          <w:szCs w:val="32"/>
        </w:rPr>
        <w:t>第十八条[地方实施细则制定]</w:t>
      </w:r>
      <w:r>
        <w:rPr>
          <w:rFonts w:hint="eastAsia" w:ascii="方正仿宋_GBK" w:eastAsia="方正仿宋_GBK"/>
          <w:sz w:val="32"/>
          <w:szCs w:val="32"/>
        </w:rPr>
        <w:t xml:space="preserve"> 各设区市住房城乡建设行政主管部门可根据实际情况，制定本办法的实施细则。</w:t>
      </w:r>
    </w:p>
    <w:sectPr>
      <w:headerReference r:id="rId3" w:type="default"/>
      <w:footerReference r:id="rId4"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9218387"/>
    </w:sdtPr>
    <w:sdtContent>
      <w:sdt>
        <w:sdtPr>
          <w:id w:val="98381352"/>
        </w:sdtPr>
        <w:sdtContent>
          <w:p>
            <w:pPr>
              <w:pStyle w:val="3"/>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1</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6</w:t>
            </w:r>
            <w:r>
              <w:rPr>
                <w:b/>
                <w:bCs/>
                <w:sz w:val="24"/>
                <w:szCs w:val="24"/>
              </w:rPr>
              <w:fldChar w:fldCharType="end"/>
            </w:r>
          </w:p>
        </w:sdtContent>
      </w:sdt>
    </w:sdtContent>
  </w:sdt>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hint="eastAsia"/>
      </w:rPr>
      <w:t>《江苏省房屋建筑和市政基础设施工程质量缺陷投诉处理管理办法》（征求意见稿02版  2022年5月19日）</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5FB732A"/>
    <w:multiLevelType w:val="singleLevel"/>
    <w:tmpl w:val="95FB732A"/>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2BA5"/>
    <w:rsid w:val="00000872"/>
    <w:rsid w:val="00002B7D"/>
    <w:rsid w:val="000071B8"/>
    <w:rsid w:val="00010768"/>
    <w:rsid w:val="00022843"/>
    <w:rsid w:val="00031576"/>
    <w:rsid w:val="00032695"/>
    <w:rsid w:val="00034AC4"/>
    <w:rsid w:val="00050DCB"/>
    <w:rsid w:val="00051881"/>
    <w:rsid w:val="0005289B"/>
    <w:rsid w:val="00074051"/>
    <w:rsid w:val="00082DBC"/>
    <w:rsid w:val="00084716"/>
    <w:rsid w:val="00087FB0"/>
    <w:rsid w:val="00091B7D"/>
    <w:rsid w:val="00092200"/>
    <w:rsid w:val="0009426E"/>
    <w:rsid w:val="000A0B8F"/>
    <w:rsid w:val="000A6B37"/>
    <w:rsid w:val="000B047B"/>
    <w:rsid w:val="000B0789"/>
    <w:rsid w:val="000D1FF9"/>
    <w:rsid w:val="000E0A2A"/>
    <w:rsid w:val="000F0505"/>
    <w:rsid w:val="000F34D8"/>
    <w:rsid w:val="00102226"/>
    <w:rsid w:val="00106A16"/>
    <w:rsid w:val="00122BC9"/>
    <w:rsid w:val="00133DDA"/>
    <w:rsid w:val="001424C0"/>
    <w:rsid w:val="00145143"/>
    <w:rsid w:val="001645CA"/>
    <w:rsid w:val="00164A2C"/>
    <w:rsid w:val="00167F73"/>
    <w:rsid w:val="00173F68"/>
    <w:rsid w:val="00177589"/>
    <w:rsid w:val="001905A5"/>
    <w:rsid w:val="00191D63"/>
    <w:rsid w:val="001A18CF"/>
    <w:rsid w:val="001A19E7"/>
    <w:rsid w:val="001A6ABC"/>
    <w:rsid w:val="001B6D59"/>
    <w:rsid w:val="001C107D"/>
    <w:rsid w:val="001D001D"/>
    <w:rsid w:val="001D5686"/>
    <w:rsid w:val="001E7C1E"/>
    <w:rsid w:val="001F100B"/>
    <w:rsid w:val="002100FB"/>
    <w:rsid w:val="00211D43"/>
    <w:rsid w:val="00215854"/>
    <w:rsid w:val="00216051"/>
    <w:rsid w:val="00222AEA"/>
    <w:rsid w:val="00230F8B"/>
    <w:rsid w:val="00233891"/>
    <w:rsid w:val="002368C3"/>
    <w:rsid w:val="0025411D"/>
    <w:rsid w:val="00263721"/>
    <w:rsid w:val="0026593A"/>
    <w:rsid w:val="00267CC9"/>
    <w:rsid w:val="00272DF1"/>
    <w:rsid w:val="002773D6"/>
    <w:rsid w:val="00281E63"/>
    <w:rsid w:val="00282898"/>
    <w:rsid w:val="002869A8"/>
    <w:rsid w:val="0029025D"/>
    <w:rsid w:val="00291456"/>
    <w:rsid w:val="002920CA"/>
    <w:rsid w:val="0029319C"/>
    <w:rsid w:val="00293DDC"/>
    <w:rsid w:val="002A0132"/>
    <w:rsid w:val="002A17D6"/>
    <w:rsid w:val="002A3759"/>
    <w:rsid w:val="002A75FE"/>
    <w:rsid w:val="002B3000"/>
    <w:rsid w:val="002B4A61"/>
    <w:rsid w:val="002C2374"/>
    <w:rsid w:val="002D0DC1"/>
    <w:rsid w:val="002D2035"/>
    <w:rsid w:val="002E1DDE"/>
    <w:rsid w:val="002E3838"/>
    <w:rsid w:val="002E41D2"/>
    <w:rsid w:val="002E57D8"/>
    <w:rsid w:val="002E6BF1"/>
    <w:rsid w:val="002F488F"/>
    <w:rsid w:val="00300E98"/>
    <w:rsid w:val="00303831"/>
    <w:rsid w:val="00307EBA"/>
    <w:rsid w:val="0031038E"/>
    <w:rsid w:val="003111B1"/>
    <w:rsid w:val="00312D85"/>
    <w:rsid w:val="00316F0C"/>
    <w:rsid w:val="003344D4"/>
    <w:rsid w:val="003348E2"/>
    <w:rsid w:val="00346D00"/>
    <w:rsid w:val="003516C1"/>
    <w:rsid w:val="00355292"/>
    <w:rsid w:val="00371264"/>
    <w:rsid w:val="00393B9F"/>
    <w:rsid w:val="003A428E"/>
    <w:rsid w:val="003B02A4"/>
    <w:rsid w:val="003B3413"/>
    <w:rsid w:val="003C7342"/>
    <w:rsid w:val="003D5870"/>
    <w:rsid w:val="003E0E19"/>
    <w:rsid w:val="003F0726"/>
    <w:rsid w:val="00404DD9"/>
    <w:rsid w:val="004078E1"/>
    <w:rsid w:val="00414A1B"/>
    <w:rsid w:val="0041633F"/>
    <w:rsid w:val="00421B02"/>
    <w:rsid w:val="0042540F"/>
    <w:rsid w:val="0043305B"/>
    <w:rsid w:val="004418A5"/>
    <w:rsid w:val="0044410F"/>
    <w:rsid w:val="00445C39"/>
    <w:rsid w:val="00447D6B"/>
    <w:rsid w:val="00451464"/>
    <w:rsid w:val="004535DA"/>
    <w:rsid w:val="004545AC"/>
    <w:rsid w:val="00464E2E"/>
    <w:rsid w:val="00466193"/>
    <w:rsid w:val="00481498"/>
    <w:rsid w:val="00497D94"/>
    <w:rsid w:val="004B6C52"/>
    <w:rsid w:val="004B6D6D"/>
    <w:rsid w:val="004D095F"/>
    <w:rsid w:val="004D11F1"/>
    <w:rsid w:val="004D6CB5"/>
    <w:rsid w:val="004E0BB3"/>
    <w:rsid w:val="004E7723"/>
    <w:rsid w:val="004F0BC9"/>
    <w:rsid w:val="004F6E8E"/>
    <w:rsid w:val="005141A3"/>
    <w:rsid w:val="00514436"/>
    <w:rsid w:val="00516FAF"/>
    <w:rsid w:val="00520C8B"/>
    <w:rsid w:val="00535EDB"/>
    <w:rsid w:val="00541439"/>
    <w:rsid w:val="005444E3"/>
    <w:rsid w:val="00556AEC"/>
    <w:rsid w:val="005614DE"/>
    <w:rsid w:val="005640BE"/>
    <w:rsid w:val="0056429E"/>
    <w:rsid w:val="005741F7"/>
    <w:rsid w:val="00584F4D"/>
    <w:rsid w:val="00592E53"/>
    <w:rsid w:val="00595F49"/>
    <w:rsid w:val="005A083F"/>
    <w:rsid w:val="005A26B4"/>
    <w:rsid w:val="005A6A22"/>
    <w:rsid w:val="005B052C"/>
    <w:rsid w:val="005B5EA1"/>
    <w:rsid w:val="005B6CD1"/>
    <w:rsid w:val="005D02CE"/>
    <w:rsid w:val="005D4C05"/>
    <w:rsid w:val="005D4FF7"/>
    <w:rsid w:val="005E048B"/>
    <w:rsid w:val="005E7D6A"/>
    <w:rsid w:val="005F48E8"/>
    <w:rsid w:val="005F778E"/>
    <w:rsid w:val="00601105"/>
    <w:rsid w:val="0060545C"/>
    <w:rsid w:val="00611227"/>
    <w:rsid w:val="00616BF9"/>
    <w:rsid w:val="00617E57"/>
    <w:rsid w:val="0062354F"/>
    <w:rsid w:val="00627EF2"/>
    <w:rsid w:val="00640260"/>
    <w:rsid w:val="0064242C"/>
    <w:rsid w:val="0064298C"/>
    <w:rsid w:val="00644379"/>
    <w:rsid w:val="00645D11"/>
    <w:rsid w:val="00647EEE"/>
    <w:rsid w:val="0065507A"/>
    <w:rsid w:val="006608A1"/>
    <w:rsid w:val="00662A67"/>
    <w:rsid w:val="00665B53"/>
    <w:rsid w:val="006763B2"/>
    <w:rsid w:val="00677D12"/>
    <w:rsid w:val="0068480F"/>
    <w:rsid w:val="00694F72"/>
    <w:rsid w:val="006A01D9"/>
    <w:rsid w:val="006A2118"/>
    <w:rsid w:val="006A4D5B"/>
    <w:rsid w:val="006B21AF"/>
    <w:rsid w:val="006D041C"/>
    <w:rsid w:val="006D6F3B"/>
    <w:rsid w:val="006D7AD5"/>
    <w:rsid w:val="006E0AA9"/>
    <w:rsid w:val="006E547E"/>
    <w:rsid w:val="006E573C"/>
    <w:rsid w:val="006F1E28"/>
    <w:rsid w:val="006F3015"/>
    <w:rsid w:val="006F6A94"/>
    <w:rsid w:val="007002AE"/>
    <w:rsid w:val="007056E2"/>
    <w:rsid w:val="00705D94"/>
    <w:rsid w:val="00706CDF"/>
    <w:rsid w:val="0071025B"/>
    <w:rsid w:val="007142CE"/>
    <w:rsid w:val="00722E6F"/>
    <w:rsid w:val="007255D8"/>
    <w:rsid w:val="0073053B"/>
    <w:rsid w:val="00731321"/>
    <w:rsid w:val="007338F7"/>
    <w:rsid w:val="00734312"/>
    <w:rsid w:val="00740483"/>
    <w:rsid w:val="00745A97"/>
    <w:rsid w:val="00747E86"/>
    <w:rsid w:val="00751625"/>
    <w:rsid w:val="007519A3"/>
    <w:rsid w:val="007553D7"/>
    <w:rsid w:val="00756C73"/>
    <w:rsid w:val="00764CE4"/>
    <w:rsid w:val="007750FE"/>
    <w:rsid w:val="00780ED7"/>
    <w:rsid w:val="00792F88"/>
    <w:rsid w:val="0079681F"/>
    <w:rsid w:val="007974EE"/>
    <w:rsid w:val="007A3E25"/>
    <w:rsid w:val="007A5583"/>
    <w:rsid w:val="007A7390"/>
    <w:rsid w:val="007B4FF6"/>
    <w:rsid w:val="007C097C"/>
    <w:rsid w:val="007C2A25"/>
    <w:rsid w:val="007D676E"/>
    <w:rsid w:val="007D7E73"/>
    <w:rsid w:val="007F790C"/>
    <w:rsid w:val="0080225C"/>
    <w:rsid w:val="0080338A"/>
    <w:rsid w:val="0081082B"/>
    <w:rsid w:val="00812C7C"/>
    <w:rsid w:val="008169DB"/>
    <w:rsid w:val="00832C59"/>
    <w:rsid w:val="00833358"/>
    <w:rsid w:val="00840937"/>
    <w:rsid w:val="00846456"/>
    <w:rsid w:val="008500F7"/>
    <w:rsid w:val="008526DD"/>
    <w:rsid w:val="008531B4"/>
    <w:rsid w:val="0085491A"/>
    <w:rsid w:val="00856CDE"/>
    <w:rsid w:val="008619A2"/>
    <w:rsid w:val="00873AAE"/>
    <w:rsid w:val="00881657"/>
    <w:rsid w:val="00883A45"/>
    <w:rsid w:val="00884070"/>
    <w:rsid w:val="00884B66"/>
    <w:rsid w:val="00895BE5"/>
    <w:rsid w:val="00896CFB"/>
    <w:rsid w:val="008A251A"/>
    <w:rsid w:val="008B56DE"/>
    <w:rsid w:val="008B61D2"/>
    <w:rsid w:val="008B78A5"/>
    <w:rsid w:val="008B7A9B"/>
    <w:rsid w:val="008B7C76"/>
    <w:rsid w:val="008C0E18"/>
    <w:rsid w:val="008C1BCF"/>
    <w:rsid w:val="008C4040"/>
    <w:rsid w:val="008C5E2A"/>
    <w:rsid w:val="008D2DE7"/>
    <w:rsid w:val="008D5D22"/>
    <w:rsid w:val="008D66A4"/>
    <w:rsid w:val="008E5D5D"/>
    <w:rsid w:val="008F18F5"/>
    <w:rsid w:val="009025CB"/>
    <w:rsid w:val="009136C7"/>
    <w:rsid w:val="00920806"/>
    <w:rsid w:val="00925A7F"/>
    <w:rsid w:val="009364BE"/>
    <w:rsid w:val="00954610"/>
    <w:rsid w:val="00954F2C"/>
    <w:rsid w:val="00955B13"/>
    <w:rsid w:val="00957952"/>
    <w:rsid w:val="009602A6"/>
    <w:rsid w:val="0096362B"/>
    <w:rsid w:val="0097269C"/>
    <w:rsid w:val="00986B2A"/>
    <w:rsid w:val="00997EF7"/>
    <w:rsid w:val="009C30D2"/>
    <w:rsid w:val="009C6358"/>
    <w:rsid w:val="009D0379"/>
    <w:rsid w:val="009D5B47"/>
    <w:rsid w:val="009D6C21"/>
    <w:rsid w:val="009E6D5F"/>
    <w:rsid w:val="009F4920"/>
    <w:rsid w:val="009F70D0"/>
    <w:rsid w:val="00A047D7"/>
    <w:rsid w:val="00A065F1"/>
    <w:rsid w:val="00A1495F"/>
    <w:rsid w:val="00A21879"/>
    <w:rsid w:val="00A3610B"/>
    <w:rsid w:val="00A408FB"/>
    <w:rsid w:val="00A52070"/>
    <w:rsid w:val="00A63769"/>
    <w:rsid w:val="00A95B48"/>
    <w:rsid w:val="00AA3DA3"/>
    <w:rsid w:val="00AB611B"/>
    <w:rsid w:val="00AC5969"/>
    <w:rsid w:val="00AC6E94"/>
    <w:rsid w:val="00AD043A"/>
    <w:rsid w:val="00AD08B6"/>
    <w:rsid w:val="00AD1EC7"/>
    <w:rsid w:val="00AD3D03"/>
    <w:rsid w:val="00AE4D59"/>
    <w:rsid w:val="00B024EF"/>
    <w:rsid w:val="00B030F7"/>
    <w:rsid w:val="00B049A3"/>
    <w:rsid w:val="00B0640B"/>
    <w:rsid w:val="00B06DFF"/>
    <w:rsid w:val="00B11AB6"/>
    <w:rsid w:val="00B14463"/>
    <w:rsid w:val="00B16487"/>
    <w:rsid w:val="00B16A26"/>
    <w:rsid w:val="00B222D8"/>
    <w:rsid w:val="00B24B9E"/>
    <w:rsid w:val="00B26949"/>
    <w:rsid w:val="00B377CF"/>
    <w:rsid w:val="00B407E4"/>
    <w:rsid w:val="00B44A9F"/>
    <w:rsid w:val="00B45F96"/>
    <w:rsid w:val="00B522E1"/>
    <w:rsid w:val="00B5277B"/>
    <w:rsid w:val="00B53CCC"/>
    <w:rsid w:val="00B53F9E"/>
    <w:rsid w:val="00B54057"/>
    <w:rsid w:val="00B56A40"/>
    <w:rsid w:val="00B61583"/>
    <w:rsid w:val="00B65715"/>
    <w:rsid w:val="00B73F6A"/>
    <w:rsid w:val="00B83FFA"/>
    <w:rsid w:val="00B860E6"/>
    <w:rsid w:val="00B951BC"/>
    <w:rsid w:val="00B9666B"/>
    <w:rsid w:val="00BA1BAC"/>
    <w:rsid w:val="00BB372A"/>
    <w:rsid w:val="00BB45AA"/>
    <w:rsid w:val="00BB7C8A"/>
    <w:rsid w:val="00BD5422"/>
    <w:rsid w:val="00BE300D"/>
    <w:rsid w:val="00BE481E"/>
    <w:rsid w:val="00BE702B"/>
    <w:rsid w:val="00BE764B"/>
    <w:rsid w:val="00BF3CB3"/>
    <w:rsid w:val="00BF6309"/>
    <w:rsid w:val="00BF6596"/>
    <w:rsid w:val="00C03408"/>
    <w:rsid w:val="00C1547A"/>
    <w:rsid w:val="00C16251"/>
    <w:rsid w:val="00C23748"/>
    <w:rsid w:val="00C26051"/>
    <w:rsid w:val="00C300A6"/>
    <w:rsid w:val="00C34F6D"/>
    <w:rsid w:val="00C3561A"/>
    <w:rsid w:val="00C36930"/>
    <w:rsid w:val="00C40B0F"/>
    <w:rsid w:val="00C4328C"/>
    <w:rsid w:val="00C4474E"/>
    <w:rsid w:val="00C5610A"/>
    <w:rsid w:val="00C67B16"/>
    <w:rsid w:val="00C71E53"/>
    <w:rsid w:val="00C72EAC"/>
    <w:rsid w:val="00C75276"/>
    <w:rsid w:val="00C81AF5"/>
    <w:rsid w:val="00C8477A"/>
    <w:rsid w:val="00C95653"/>
    <w:rsid w:val="00CB0168"/>
    <w:rsid w:val="00CB208B"/>
    <w:rsid w:val="00CB4F98"/>
    <w:rsid w:val="00CB5220"/>
    <w:rsid w:val="00CB6B34"/>
    <w:rsid w:val="00CB72FE"/>
    <w:rsid w:val="00CE670F"/>
    <w:rsid w:val="00CE6E40"/>
    <w:rsid w:val="00CF17D7"/>
    <w:rsid w:val="00D02C0D"/>
    <w:rsid w:val="00D155E4"/>
    <w:rsid w:val="00D24D16"/>
    <w:rsid w:val="00D25382"/>
    <w:rsid w:val="00D27CA0"/>
    <w:rsid w:val="00D30574"/>
    <w:rsid w:val="00D36555"/>
    <w:rsid w:val="00D4074F"/>
    <w:rsid w:val="00D5514D"/>
    <w:rsid w:val="00D6519E"/>
    <w:rsid w:val="00D66301"/>
    <w:rsid w:val="00D675DA"/>
    <w:rsid w:val="00D74AA0"/>
    <w:rsid w:val="00D764BA"/>
    <w:rsid w:val="00D800AF"/>
    <w:rsid w:val="00D828BE"/>
    <w:rsid w:val="00D85AF5"/>
    <w:rsid w:val="00D910DE"/>
    <w:rsid w:val="00D959CC"/>
    <w:rsid w:val="00DA0B64"/>
    <w:rsid w:val="00DA53D7"/>
    <w:rsid w:val="00DA5DE0"/>
    <w:rsid w:val="00DC0BB0"/>
    <w:rsid w:val="00DC0E2D"/>
    <w:rsid w:val="00DC46BA"/>
    <w:rsid w:val="00DD3454"/>
    <w:rsid w:val="00DD5ABC"/>
    <w:rsid w:val="00DD69A7"/>
    <w:rsid w:val="00DF4513"/>
    <w:rsid w:val="00E12BA5"/>
    <w:rsid w:val="00E1353F"/>
    <w:rsid w:val="00E137A3"/>
    <w:rsid w:val="00E1737F"/>
    <w:rsid w:val="00E17AF9"/>
    <w:rsid w:val="00E3490D"/>
    <w:rsid w:val="00E3526E"/>
    <w:rsid w:val="00E45A5C"/>
    <w:rsid w:val="00E51603"/>
    <w:rsid w:val="00E6712E"/>
    <w:rsid w:val="00E70FF0"/>
    <w:rsid w:val="00E71925"/>
    <w:rsid w:val="00E7327F"/>
    <w:rsid w:val="00E87AF7"/>
    <w:rsid w:val="00E91149"/>
    <w:rsid w:val="00E93B5E"/>
    <w:rsid w:val="00EA071D"/>
    <w:rsid w:val="00EA1D4E"/>
    <w:rsid w:val="00EB2171"/>
    <w:rsid w:val="00EB4905"/>
    <w:rsid w:val="00EB7AC4"/>
    <w:rsid w:val="00EC10A6"/>
    <w:rsid w:val="00ED2E9C"/>
    <w:rsid w:val="00ED77F3"/>
    <w:rsid w:val="00EE06E6"/>
    <w:rsid w:val="00EE34CF"/>
    <w:rsid w:val="00EF2D21"/>
    <w:rsid w:val="00F26823"/>
    <w:rsid w:val="00F27CDB"/>
    <w:rsid w:val="00F31F95"/>
    <w:rsid w:val="00F47C54"/>
    <w:rsid w:val="00F5055F"/>
    <w:rsid w:val="00F55710"/>
    <w:rsid w:val="00F559E3"/>
    <w:rsid w:val="00F561B1"/>
    <w:rsid w:val="00F66BB2"/>
    <w:rsid w:val="00F66D39"/>
    <w:rsid w:val="00F70473"/>
    <w:rsid w:val="00F70AE4"/>
    <w:rsid w:val="00F72819"/>
    <w:rsid w:val="00F810B8"/>
    <w:rsid w:val="00F8114F"/>
    <w:rsid w:val="00F821DF"/>
    <w:rsid w:val="00F83FC2"/>
    <w:rsid w:val="00F8464B"/>
    <w:rsid w:val="00F90292"/>
    <w:rsid w:val="00F939CD"/>
    <w:rsid w:val="00F96AEE"/>
    <w:rsid w:val="00FB0130"/>
    <w:rsid w:val="00FB02CF"/>
    <w:rsid w:val="00FB15E9"/>
    <w:rsid w:val="00FB1755"/>
    <w:rsid w:val="00FB2691"/>
    <w:rsid w:val="00FB3FED"/>
    <w:rsid w:val="00FB4CE2"/>
    <w:rsid w:val="00FB5E6B"/>
    <w:rsid w:val="00FB6A39"/>
    <w:rsid w:val="00FC1009"/>
    <w:rsid w:val="00FC2895"/>
    <w:rsid w:val="00FD1C37"/>
    <w:rsid w:val="00FD21C6"/>
    <w:rsid w:val="00FD6C46"/>
    <w:rsid w:val="00FE20A7"/>
    <w:rsid w:val="00FE385E"/>
    <w:rsid w:val="00FF398F"/>
    <w:rsid w:val="0EEC3721"/>
    <w:rsid w:val="15204125"/>
    <w:rsid w:val="1C35495A"/>
    <w:rsid w:val="1C9F0025"/>
    <w:rsid w:val="255676EF"/>
    <w:rsid w:val="25B43B7B"/>
    <w:rsid w:val="27E014F2"/>
    <w:rsid w:val="290C4C94"/>
    <w:rsid w:val="2A51371E"/>
    <w:rsid w:val="2D4F6EFD"/>
    <w:rsid w:val="2DAC25A2"/>
    <w:rsid w:val="36DF0B35"/>
    <w:rsid w:val="377D6D5D"/>
    <w:rsid w:val="3BBC42F8"/>
    <w:rsid w:val="3C0E61D6"/>
    <w:rsid w:val="3CF96E86"/>
    <w:rsid w:val="46685352"/>
    <w:rsid w:val="4BC51934"/>
    <w:rsid w:val="4BDA60D4"/>
    <w:rsid w:val="4DBA61BD"/>
    <w:rsid w:val="58443253"/>
    <w:rsid w:val="67E4410B"/>
    <w:rsid w:val="6FE3114C"/>
    <w:rsid w:val="709C6202"/>
    <w:rsid w:val="712A0325"/>
    <w:rsid w:val="719A3A8C"/>
    <w:rsid w:val="71D40D4C"/>
    <w:rsid w:val="740C01EA"/>
    <w:rsid w:val="744A591D"/>
    <w:rsid w:val="76DA32A9"/>
    <w:rsid w:val="7CB03EC6"/>
    <w:rsid w:val="7E5971A9"/>
    <w:rsid w:val="7F0E7FC4"/>
    <w:rsid w:val="7FF334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semiHidden/>
    <w:unhideWhenUsed/>
    <w:qFormat/>
    <w:uiPriority w:val="99"/>
    <w:rPr>
      <w:sz w:val="18"/>
      <w:szCs w:val="18"/>
    </w:r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sz w:val="18"/>
      <w:szCs w:val="18"/>
    </w:rPr>
  </w:style>
  <w:style w:type="character" w:customStyle="1" w:styleId="8">
    <w:name w:val="页脚 Char"/>
    <w:basedOn w:val="6"/>
    <w:link w:val="3"/>
    <w:qFormat/>
    <w:uiPriority w:val="99"/>
    <w:rPr>
      <w:sz w:val="18"/>
      <w:szCs w:val="18"/>
    </w:rPr>
  </w:style>
  <w:style w:type="character" w:customStyle="1" w:styleId="9">
    <w:name w:val="批注框文本 Char"/>
    <w:basedOn w:val="6"/>
    <w:link w:val="2"/>
    <w:semiHidden/>
    <w:qFormat/>
    <w:uiPriority w:val="99"/>
    <w:rPr>
      <w:sz w:val="18"/>
      <w:szCs w:val="18"/>
    </w:rPr>
  </w:style>
  <w:style w:type="paragraph" w:styleId="10">
    <w:name w:val="List Paragraph"/>
    <w:basedOn w:val="1"/>
    <w:unhideWhenUsed/>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EFA39E8-6B92-45B5-8AA3-58B82023F613}">
  <ds:schemaRefs/>
</ds:datastoreItem>
</file>

<file path=docProps/app.xml><?xml version="1.0" encoding="utf-8"?>
<Properties xmlns="http://schemas.openxmlformats.org/officeDocument/2006/extended-properties" xmlns:vt="http://schemas.openxmlformats.org/officeDocument/2006/docPropsVTypes">
  <Template>Normal</Template>
  <Pages>6</Pages>
  <Words>2813</Words>
  <Characters>2814</Characters>
  <Lines>20</Lines>
  <Paragraphs>5</Paragraphs>
  <TotalTime>223</TotalTime>
  <ScaleCrop>false</ScaleCrop>
  <LinksUpToDate>false</LinksUpToDate>
  <CharactersWithSpaces>2831</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2022-05-16T02:02:00Z</dcterms:created>
  <dc:creator>lzq</dc:creator>
  <cp:lastModifiedBy>水晶</cp:lastModifiedBy>
  <cp:lastPrinted>2022-05-19T09:23:00Z</cp:lastPrinted>
  <dcterms:modified xsi:type="dcterms:W3CDTF">2022-05-26T06:33:33Z</dcterms:modified>
  <cp:revision>97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2553203E72224E33A25F59C1B9BEFFCA</vt:lpwstr>
  </property>
</Properties>
</file>