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</w:p>
    <w:p>
      <w:pPr>
        <w:widowControl/>
        <w:spacing w:line="360" w:lineRule="auto"/>
        <w:jc w:val="center"/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江苏省建筑施工安全管理系统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（消防安全专项检查上报模块）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操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作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手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52"/>
          <w:szCs w:val="52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52"/>
          <w:szCs w:val="52"/>
          <w:lang w:bidi="ar"/>
        </w:rPr>
        <w:t>册</w:t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  <w:r>
        <w:rPr>
          <w:rFonts w:hint="eastAsia" w:ascii="宋体" w:hAnsi="宋体" w:eastAsia="宋体" w:cs="宋体"/>
          <w:b/>
          <w:color w:val="000000"/>
          <w:kern w:val="0"/>
          <w:sz w:val="31"/>
          <w:szCs w:val="31"/>
          <w:lang w:bidi="ar"/>
        </w:rPr>
        <w:t>南京傲途软件有限公司</w:t>
      </w:r>
    </w:p>
    <w:p>
      <w:pPr>
        <w:widowControl/>
        <w:spacing w:line="360" w:lineRule="auto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color w:val="000000"/>
          <w:kern w:val="0"/>
          <w:sz w:val="31"/>
          <w:szCs w:val="3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sdt>
      <w:sdtPr>
        <w:rPr>
          <w:rFonts w:ascii="宋体" w:hAnsi="宋体" w:eastAsia="宋体"/>
        </w:rPr>
        <w:id w:val="147467653"/>
        <w:docPartObj>
          <w:docPartGallery w:val="Table of Contents"/>
          <w:docPartUnique/>
        </w:docPartObj>
      </w:sdtPr>
      <w:sdtEndPr>
        <w:rPr>
          <w:rFonts w:ascii="Calibri" w:hAnsi="Calibri" w:eastAsia="宋体" w:cs="Calibri"/>
          <w:b/>
          <w:color w:val="000000"/>
          <w:kern w:val="0"/>
          <w:szCs w:val="21"/>
          <w:lang w:bidi="ar"/>
        </w:rPr>
      </w:sdtEndPr>
      <w:sdtContent>
        <w:p>
          <w:pPr>
            <w:spacing w:line="360" w:lineRule="auto"/>
            <w:jc w:val="center"/>
          </w:pPr>
          <w:r>
            <w:rPr>
              <w:rFonts w:ascii="宋体" w:hAnsi="宋体" w:eastAsia="宋体"/>
            </w:rPr>
            <w:t>目录</w:t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rPr>
              <w:rFonts w:ascii="Calibri" w:hAnsi="Calibri" w:cs="Calibri"/>
              <w:color w:val="000000"/>
              <w:szCs w:val="21"/>
              <w:lang w:bidi="ar"/>
            </w:rPr>
            <w:fldChar w:fldCharType="begin"/>
          </w:r>
          <w:r>
            <w:rPr>
              <w:rFonts w:ascii="Calibri" w:hAnsi="Calibri" w:eastAsia="宋体" w:cs="Calibri"/>
              <w:color w:val="000000"/>
              <w:kern w:val="0"/>
              <w:szCs w:val="21"/>
              <w:lang w:bidi="ar"/>
            </w:rPr>
            <w:instrText xml:space="preserve">TOC \o "1-2" \h \u </w:instrText>
          </w:r>
          <w:r>
            <w:rPr>
              <w:rFonts w:ascii="Calibri" w:hAnsi="Calibri" w:cs="Calibri"/>
              <w:color w:val="000000"/>
              <w:szCs w:val="21"/>
              <w:lang w:bidi="ar"/>
            </w:rPr>
            <w:fldChar w:fldCharType="separate"/>
          </w:r>
          <w:r>
            <w:fldChar w:fldCharType="begin"/>
          </w:r>
          <w:r>
            <w:instrText xml:space="preserve"> HYPERLINK \l "_Toc26010" </w:instrText>
          </w:r>
          <w:r>
            <w:fldChar w:fldCharType="separate"/>
          </w:r>
          <w:r>
            <w:rPr>
              <w:rFonts w:hint="eastAsia"/>
            </w:rPr>
            <w:t>1、项目账号登录</w:t>
          </w:r>
          <w:r>
            <w:tab/>
          </w:r>
          <w:r>
            <w:fldChar w:fldCharType="begin"/>
          </w:r>
          <w:r>
            <w:instrText xml:space="preserve"> PAGEREF _Toc26010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9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"_Toc4334" </w:instrText>
          </w:r>
          <w:r>
            <w:fldChar w:fldCharType="separate"/>
          </w:r>
          <w:r>
            <w:rPr>
              <w:rFonts w:hint="eastAsia"/>
            </w:rPr>
            <w:t>1.1 消防安全检查填报</w:t>
          </w:r>
          <w:r>
            <w:tab/>
          </w:r>
          <w:r>
            <w:fldChar w:fldCharType="begin"/>
          </w:r>
          <w:r>
            <w:instrText xml:space="preserve"> PAGEREF _Toc4334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"_Toc5115" </w:instrText>
          </w:r>
          <w:r>
            <w:fldChar w:fldCharType="separate"/>
          </w:r>
          <w:r>
            <w:rPr>
              <w:rFonts w:hint="eastAsia"/>
            </w:rPr>
            <w:t>2、主管部门登录</w:t>
          </w:r>
          <w:r>
            <w:tab/>
          </w:r>
          <w:r>
            <w:fldChar w:fldCharType="begin"/>
          </w:r>
          <w:r>
            <w:instrText xml:space="preserve"> PAGEREF _Toc5115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9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"_Toc29220" </w:instrText>
          </w:r>
          <w:r>
            <w:fldChar w:fldCharType="separate"/>
          </w:r>
          <w:r>
            <w:rPr>
              <w:rFonts w:hint="eastAsia"/>
            </w:rPr>
            <w:t>2.1 消防安全检查浏览</w:t>
          </w:r>
          <w:r>
            <w:tab/>
          </w:r>
          <w:r>
            <w:fldChar w:fldCharType="begin"/>
          </w:r>
          <w:r>
            <w:instrText xml:space="preserve"> PAGEREF _Toc29220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9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"_Toc32363" </w:instrText>
          </w:r>
          <w:r>
            <w:fldChar w:fldCharType="separate"/>
          </w:r>
          <w:r>
            <w:rPr>
              <w:rFonts w:hint="eastAsia"/>
            </w:rPr>
            <w:t>2.2 消防检查统计上报</w:t>
          </w:r>
          <w:r>
            <w:tab/>
          </w:r>
          <w:r>
            <w:fldChar w:fldCharType="begin"/>
          </w:r>
          <w:r>
            <w:instrText xml:space="preserve"> PAGEREF _Toc32363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9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"_Toc3905" </w:instrText>
          </w:r>
          <w:r>
            <w:fldChar w:fldCharType="separate"/>
          </w:r>
          <w:r>
            <w:rPr>
              <w:rFonts w:hint="eastAsia"/>
            </w:rPr>
            <w:t>2.3 消防安全检查统计</w:t>
          </w:r>
          <w:r>
            <w:tab/>
          </w:r>
          <w:r>
            <w:fldChar w:fldCharType="begin"/>
          </w:r>
          <w:r>
            <w:instrText xml:space="preserve"> PAGEREF _Toc3905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"_Toc32239" </w:instrText>
          </w:r>
          <w:r>
            <w:fldChar w:fldCharType="separate"/>
          </w:r>
          <w:r>
            <w:rPr>
              <w:rFonts w:hint="eastAsia"/>
            </w:rPr>
            <w:t>3、市、省账号登录</w:t>
          </w:r>
          <w:r>
            <w:tab/>
          </w:r>
          <w:r>
            <w:fldChar w:fldCharType="begin"/>
          </w:r>
          <w:r>
            <w:instrText xml:space="preserve"> PAGEREF _Toc32239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9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"_Toc18374" </w:instrText>
          </w:r>
          <w:r>
            <w:fldChar w:fldCharType="separate"/>
          </w:r>
          <w:r>
            <w:rPr>
              <w:rFonts w:hint="eastAsia"/>
            </w:rPr>
            <w:t>3.1 安全检查统计</w:t>
          </w:r>
          <w:r>
            <w:tab/>
          </w:r>
          <w:r>
            <w:fldChar w:fldCharType="begin"/>
          </w:r>
          <w:r>
            <w:instrText xml:space="preserve"> PAGEREF _Toc18374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"_Toc31820" </w:instrText>
          </w:r>
          <w:r>
            <w:fldChar w:fldCharType="separate"/>
          </w:r>
          <w:r>
            <w:rPr>
              <w:rFonts w:hint="eastAsia"/>
            </w:rPr>
            <w:t>4、消息中心</w:t>
          </w:r>
          <w:r>
            <w:tab/>
          </w:r>
          <w:r>
            <w:fldChar w:fldCharType="begin"/>
          </w:r>
          <w:r>
            <w:instrText xml:space="preserve"> PAGEREF _Toc31820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"_Toc28039" </w:instrText>
          </w:r>
          <w:r>
            <w:fldChar w:fldCharType="separate"/>
          </w:r>
          <w:r>
            <w:rPr>
              <w:rFonts w:hint="eastAsia"/>
            </w:rPr>
            <w:t>5、资料查询</w:t>
          </w:r>
          <w:r>
            <w:tab/>
          </w:r>
          <w:r>
            <w:fldChar w:fldCharType="begin"/>
          </w:r>
          <w:r>
            <w:instrText xml:space="preserve"> PAGEREF _Toc28039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8"/>
            <w:tabs>
              <w:tab w:val="right" w:leader="dot" w:pos="8306"/>
            </w:tabs>
            <w:spacing w:line="360" w:lineRule="auto"/>
          </w:pPr>
          <w:r>
            <w:fldChar w:fldCharType="begin"/>
          </w:r>
          <w:r>
            <w:instrText xml:space="preserve"> HYPERLINK \l "_Toc24230" </w:instrText>
          </w:r>
          <w:r>
            <w:fldChar w:fldCharType="separate"/>
          </w:r>
          <w:r>
            <w:rPr>
              <w:rFonts w:hint="eastAsia"/>
            </w:rPr>
            <w:t>6、技术支持</w:t>
          </w:r>
          <w:r>
            <w:tab/>
          </w:r>
          <w:r>
            <w:fldChar w:fldCharType="begin"/>
          </w:r>
          <w:r>
            <w:instrText xml:space="preserve"> PAGEREF _Toc24230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widowControl/>
            <w:spacing w:line="360" w:lineRule="auto"/>
            <w:ind w:firstLine="420"/>
            <w:jc w:val="left"/>
            <w:rPr>
              <w:rFonts w:ascii="Calibri" w:hAnsi="Calibri" w:eastAsia="宋体" w:cs="Calibri"/>
              <w:color w:val="000000"/>
              <w:kern w:val="0"/>
              <w:szCs w:val="21"/>
              <w:lang w:bidi="ar"/>
            </w:rPr>
          </w:pPr>
          <w:r>
            <w:rPr>
              <w:rFonts w:ascii="Calibri" w:hAnsi="Calibri" w:eastAsia="宋体" w:cs="Calibri"/>
              <w:color w:val="000000"/>
              <w:kern w:val="0"/>
              <w:szCs w:val="21"/>
              <w:lang w:bidi="ar"/>
            </w:rPr>
            <w:fldChar w:fldCharType="end"/>
          </w:r>
        </w:p>
      </w:sdtContent>
    </w:sdt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widowControl/>
        <w:spacing w:line="360" w:lineRule="auto"/>
        <w:ind w:firstLine="420"/>
        <w:jc w:val="left"/>
        <w:rPr>
          <w:rFonts w:ascii="Calibri" w:hAnsi="Calibri" w:eastAsia="宋体" w:cs="Calibri"/>
          <w:color w:val="000000"/>
          <w:kern w:val="0"/>
          <w:szCs w:val="21"/>
          <w:lang w:bidi="ar"/>
        </w:rPr>
      </w:pPr>
    </w:p>
    <w:p>
      <w:pPr>
        <w:pStyle w:val="2"/>
        <w:numPr>
          <w:ilvl w:val="0"/>
          <w:numId w:val="1"/>
        </w:numPr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0" w:name="_Toc10075"/>
      <w:bookmarkStart w:id="1" w:name="_Toc26010"/>
      <w:r>
        <w:rPr>
          <w:rFonts w:hint="eastAsia" w:ascii="方正黑体_GBK" w:eastAsia="方正黑体_GBK"/>
          <w:b w:val="0"/>
          <w:lang w:eastAsia="zh-CN"/>
        </w:rPr>
        <w:t>项目</w:t>
      </w:r>
      <w:bookmarkEnd w:id="0"/>
      <w:r>
        <w:rPr>
          <w:rFonts w:hint="eastAsia" w:ascii="方正黑体_GBK" w:eastAsia="方正黑体_GBK"/>
          <w:b w:val="0"/>
          <w:lang w:eastAsia="zh-CN"/>
        </w:rPr>
        <w:t>账号登录</w:t>
      </w:r>
      <w:bookmarkEnd w:id="1"/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打开江苏省建筑施工安全管理系统，输入账号和密码点击【登录】按钮，进入江苏省建筑施工安全管理系统首页。</w:t>
      </w:r>
    </w:p>
    <w:p>
      <w:r>
        <w:drawing>
          <wp:inline distT="0" distB="0" distL="114300" distR="114300">
            <wp:extent cx="5266690" cy="2602865"/>
            <wp:effectExtent l="0" t="0" r="1016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602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rFonts w:hint="eastAsia"/>
        </w:rPr>
        <w:t>登录首页图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登录系统后，系统以弹窗形式通知用户。点击【消防安全检查填报】进入填报页面，填写检查信息并提交主管部门。若已填报，点击【知道了】关闭弹窗。</w:t>
      </w:r>
    </w:p>
    <w:p>
      <w:pPr>
        <w:pStyle w:val="4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2" w:name="_Toc28513"/>
      <w:bookmarkStart w:id="3" w:name="_Toc4334"/>
      <w:r>
        <w:rPr>
          <w:rFonts w:hint="eastAsia" w:ascii="方正黑体_GBK" w:eastAsia="方正黑体_GBK"/>
          <w:b w:val="0"/>
          <w:lang w:eastAsia="zh-CN"/>
        </w:rPr>
        <w:t xml:space="preserve">1.1 </w:t>
      </w:r>
      <w:bookmarkEnd w:id="2"/>
      <w:r>
        <w:rPr>
          <w:rFonts w:hint="eastAsia" w:ascii="方正黑体_GBK" w:eastAsia="方正黑体_GBK"/>
          <w:b w:val="0"/>
          <w:lang w:eastAsia="zh-CN"/>
        </w:rPr>
        <w:t>消防安全检查填报</w:t>
      </w:r>
      <w:bookmarkEnd w:id="3"/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“消防安全--消防安全检查填报”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，系统根据当前时间展示当前批次数以及展示填报时间。</w:t>
      </w:r>
    </w:p>
    <w:p>
      <w:pPr>
        <w:widowControl/>
        <w:spacing w:line="360" w:lineRule="auto"/>
        <w:jc w:val="left"/>
        <w:rPr>
          <w:rFonts w:ascii="微软雅黑 Light" w:hAnsi="微软雅黑 Light" w:eastAsia="微软雅黑 Light" w:cs="微软雅黑 Light"/>
          <w:color w:val="000000"/>
          <w:kern w:val="0"/>
          <w:sz w:val="24"/>
          <w:lang w:bidi="ar"/>
        </w:rPr>
      </w:pPr>
      <w:r>
        <w:drawing>
          <wp:inline distT="0" distB="0" distL="114300" distR="114300">
            <wp:extent cx="5260975" cy="2757805"/>
            <wp:effectExtent l="0" t="0" r="15875" b="444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757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ind w:firstLine="420"/>
        <w:jc w:val="center"/>
        <w:rPr>
          <w:rFonts w:ascii="微软雅黑 Light" w:hAnsi="微软雅黑 Light" w:eastAsia="微软雅黑 Light" w:cs="微软雅黑 Light"/>
          <w:bCs/>
          <w:color w:val="000000"/>
          <w:kern w:val="0"/>
          <w:sz w:val="24"/>
          <w:lang w:bidi="ar"/>
        </w:rPr>
      </w:pPr>
      <w:r>
        <w:rPr>
          <w:rFonts w:hint="eastAsia" w:ascii="微软雅黑 Light" w:hAnsi="微软雅黑 Light" w:eastAsia="微软雅黑 Light" w:cs="微软雅黑 Light"/>
          <w:bCs/>
          <w:color w:val="000000"/>
          <w:kern w:val="0"/>
          <w:sz w:val="24"/>
          <w:lang w:bidi="ar"/>
        </w:rPr>
        <w:t>图 1-</w:t>
      </w:r>
      <w:r>
        <w:rPr>
          <w:rFonts w:ascii="微软雅黑 Light" w:hAnsi="微软雅黑 Light" w:eastAsia="微软雅黑 Light" w:cs="微软雅黑 Light"/>
          <w:bCs/>
          <w:color w:val="000000"/>
          <w:kern w:val="0"/>
          <w:sz w:val="24"/>
          <w:lang w:bidi="ar"/>
        </w:rPr>
        <w:t>1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FF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第一次填报请在</w:t>
      </w:r>
      <w:r>
        <w:rPr>
          <w:rFonts w:hint="eastAsia" w:ascii="方正仿宋_GBK" w:eastAsia="方正仿宋_GBK"/>
          <w:color w:val="000000" w:themeColor="text1"/>
          <w:sz w:val="24"/>
          <w14:textFill>
            <w14:solidFill>
              <w14:schemeClr w14:val="tx1"/>
            </w14:solidFill>
          </w14:textFill>
        </w:rPr>
        <w:t>3月31日前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完成，根据页面提示信息在相应单选框与输入框内填写对应的内容（未输入则默认为“0”）。填写完成，点击【提交汇总】按钮，系统提示“已提交成功”，表示完成填报并提交成功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第二次填报日期为4月15至4月20日，填报要求同上。</w:t>
      </w:r>
    </w:p>
    <w:p>
      <w:pPr>
        <w:widowControl/>
        <w:spacing w:line="360" w:lineRule="auto"/>
        <w:jc w:val="left"/>
        <w:rPr>
          <w:rFonts w:ascii="微软雅黑 Light" w:hAnsi="微软雅黑 Light" w:eastAsia="微软雅黑 Light" w:cs="微软雅黑 Light"/>
          <w:color w:val="FF0000"/>
          <w:kern w:val="0"/>
          <w:sz w:val="24"/>
          <w:lang w:bidi="ar"/>
        </w:rPr>
      </w:pPr>
      <w:r>
        <w:drawing>
          <wp:inline distT="0" distB="0" distL="114300" distR="114300">
            <wp:extent cx="5270500" cy="2872740"/>
            <wp:effectExtent l="0" t="0" r="6350" b="3810"/>
            <wp:docPr id="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87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360" w:lineRule="exact"/>
        <w:ind w:firstLine="420"/>
        <w:jc w:val="center"/>
        <w:rPr>
          <w:rFonts w:ascii="微软雅黑 Light" w:hAnsi="微软雅黑 Light" w:eastAsia="微软雅黑 Light" w:cs="微软雅黑 Light"/>
          <w:kern w:val="0"/>
          <w:szCs w:val="21"/>
          <w:lang w:bidi="ar"/>
        </w:rPr>
      </w:pPr>
      <w:r>
        <w:rPr>
          <w:rFonts w:hint="eastAsia" w:ascii="微软雅黑 Light" w:hAnsi="微软雅黑 Light" w:eastAsia="微软雅黑 Light" w:cs="微软雅黑 Light"/>
          <w:kern w:val="0"/>
          <w:szCs w:val="21"/>
          <w:lang w:bidi="ar"/>
        </w:rPr>
        <w:t xml:space="preserve">图 </w:t>
      </w:r>
      <w:r>
        <w:rPr>
          <w:rFonts w:ascii="微软雅黑 Light" w:hAnsi="微软雅黑 Light" w:eastAsia="微软雅黑 Light" w:cs="微软雅黑 Light"/>
          <w:kern w:val="0"/>
          <w:szCs w:val="21"/>
          <w:lang w:bidi="ar"/>
        </w:rPr>
        <w:t>1-</w:t>
      </w:r>
      <w:r>
        <w:rPr>
          <w:rFonts w:hint="eastAsia" w:ascii="微软雅黑 Light" w:hAnsi="微软雅黑 Light" w:eastAsia="微软雅黑 Light" w:cs="微软雅黑 Light"/>
          <w:kern w:val="0"/>
          <w:szCs w:val="21"/>
          <w:lang w:bidi="ar"/>
        </w:rPr>
        <w:t>2</w:t>
      </w:r>
    </w:p>
    <w:p>
      <w:pPr>
        <w:widowControl/>
        <w:spacing w:line="440" w:lineRule="exact"/>
        <w:ind w:firstLine="420"/>
        <w:jc w:val="left"/>
        <w:rPr>
          <w:rFonts w:ascii="方正仿宋_GBK" w:hAnsi="微软雅黑 Light" w:eastAsia="方正仿宋_GBK" w:cs="微软雅黑 Light"/>
          <w:color w:val="FF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FF0000"/>
          <w:kern w:val="0"/>
          <w:sz w:val="24"/>
          <w:lang w:bidi="ar"/>
        </w:rPr>
        <w:t>注：</w:t>
      </w:r>
    </w:p>
    <w:p>
      <w:pPr>
        <w:widowControl/>
        <w:spacing w:line="380" w:lineRule="exact"/>
        <w:ind w:firstLine="420"/>
        <w:jc w:val="left"/>
        <w:rPr>
          <w:rFonts w:ascii="方正仿宋_GBK" w:hAnsi="微软雅黑 Light" w:eastAsia="方正仿宋_GBK" w:cs="微软雅黑 Light"/>
          <w:color w:val="FF0000"/>
          <w:kern w:val="0"/>
          <w:sz w:val="24"/>
          <w:lang w:bidi="ar"/>
        </w:rPr>
      </w:pPr>
      <w:r>
        <w:rPr>
          <w:rFonts w:ascii="方正仿宋_GBK" w:hAnsi="微软雅黑 Light" w:eastAsia="方正仿宋_GBK" w:cs="微软雅黑 Light"/>
          <w:color w:val="FF0000"/>
          <w:kern w:val="0"/>
          <w:sz w:val="24"/>
          <w:lang w:bidi="ar"/>
        </w:rPr>
        <w:t>1</w:t>
      </w:r>
      <w:r>
        <w:rPr>
          <w:rFonts w:hint="eastAsia" w:ascii="方正仿宋_GBK" w:hAnsi="微软雅黑 Light" w:eastAsia="方正仿宋_GBK" w:cs="微软雅黑 Light"/>
          <w:color w:val="FF0000"/>
          <w:kern w:val="0"/>
          <w:sz w:val="24"/>
          <w:lang w:bidi="ar"/>
        </w:rPr>
        <w:t>、每批次仅可填报一次，且无法修改。项目端数据提交成功，由主管部门浏览已/未填报的数据，并对已填报信息进行修正。</w:t>
      </w:r>
    </w:p>
    <w:p>
      <w:pPr>
        <w:widowControl/>
        <w:spacing w:line="380" w:lineRule="exact"/>
        <w:ind w:firstLine="480" w:firstLineChars="200"/>
        <w:jc w:val="left"/>
        <w:rPr>
          <w:rFonts w:ascii="方正仿宋_GBK" w:hAnsi="微软雅黑 Light" w:eastAsia="方正仿宋_GBK" w:cs="微软雅黑 Light"/>
          <w:color w:val="FF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FF0000"/>
          <w:kern w:val="0"/>
          <w:sz w:val="24"/>
          <w:lang w:bidi="ar"/>
        </w:rPr>
        <w:t>2、项目填报，数据只能输入正整数，不能输入小数。</w:t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kern w:val="0"/>
          <w:sz w:val="24"/>
          <w:lang w:bidi="ar"/>
        </w:rPr>
      </w:pP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kern w:val="0"/>
          <w:sz w:val="24"/>
          <w:lang w:bidi="ar"/>
        </w:rPr>
      </w:pP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kern w:val="0"/>
          <w:sz w:val="24"/>
          <w:lang w:bidi="ar"/>
        </w:rPr>
      </w:pP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kern w:val="0"/>
          <w:sz w:val="24"/>
          <w:lang w:bidi="ar"/>
        </w:rPr>
      </w:pPr>
    </w:p>
    <w:p>
      <w:pPr>
        <w:pStyle w:val="2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4" w:name="_Toc29675"/>
      <w:bookmarkStart w:id="5" w:name="_Toc5115"/>
      <w:r>
        <w:rPr>
          <w:rFonts w:hint="eastAsia" w:ascii="方正黑体_GBK" w:eastAsia="方正黑体_GBK"/>
          <w:b w:val="0"/>
          <w:lang w:eastAsia="zh-CN"/>
        </w:rPr>
        <w:t>2、</w:t>
      </w:r>
      <w:bookmarkEnd w:id="4"/>
      <w:r>
        <w:rPr>
          <w:rFonts w:hint="eastAsia" w:ascii="方正黑体_GBK" w:eastAsia="方正黑体_GBK"/>
          <w:b w:val="0"/>
          <w:lang w:eastAsia="zh-CN"/>
        </w:rPr>
        <w:t>安监站-站领导登录</w:t>
      </w:r>
      <w:bookmarkEnd w:id="5"/>
    </w:p>
    <w:p>
      <w:pPr>
        <w:pStyle w:val="4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6" w:name="_Toc3905"/>
      <w:r>
        <w:rPr>
          <w:rFonts w:ascii="方正黑体_GBK" w:eastAsia="方正黑体_GBK"/>
          <w:b w:val="0"/>
          <w:lang w:eastAsia="zh-CN"/>
        </w:rPr>
        <w:t xml:space="preserve">2.1 </w:t>
      </w:r>
      <w:r>
        <w:rPr>
          <w:rFonts w:hint="eastAsia" w:ascii="方正黑体_GBK" w:eastAsia="方正黑体_GBK"/>
          <w:b w:val="0"/>
          <w:lang w:eastAsia="zh-CN"/>
        </w:rPr>
        <w:t>消防安全检查统计</w:t>
      </w:r>
      <w:bookmarkEnd w:id="6"/>
    </w:p>
    <w:p>
      <w:pPr>
        <w:widowControl/>
        <w:spacing w:line="360" w:lineRule="auto"/>
        <w:ind w:firstLine="480" w:firstLineChars="20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打开菜单“消防安全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--消防安全检查统计”，页面展示项目填报情况、消防隐患检查情况饼状图。通过不同颜色对比直观展示各数据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占比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情况。</w:t>
      </w:r>
    </w:p>
    <w:p>
      <w:pPr>
        <w:widowControl/>
        <w:spacing w:line="360" w:lineRule="auto"/>
        <w:jc w:val="left"/>
        <w:rPr>
          <w:rFonts w:ascii="微软雅黑 Light" w:hAnsi="微软雅黑 Light" w:eastAsia="微软雅黑 Light" w:cs="微软雅黑 Light"/>
          <w:color w:val="000000"/>
          <w:kern w:val="0"/>
          <w:sz w:val="24"/>
          <w:lang w:bidi="ar"/>
        </w:rPr>
      </w:pPr>
      <w:r>
        <w:rPr>
          <w:rFonts w:hint="eastAsia" w:ascii="微软雅黑 Light" w:hAnsi="微软雅黑 Light" w:eastAsia="微软雅黑 Light" w:cs="微软雅黑 Light"/>
          <w:color w:val="000000"/>
          <w:kern w:val="0"/>
          <w:sz w:val="24"/>
        </w:rPr>
        <w:drawing>
          <wp:inline distT="0" distB="0" distL="114300" distR="114300">
            <wp:extent cx="5273040" cy="2490470"/>
            <wp:effectExtent l="0" t="0" r="3810" b="5080"/>
            <wp:docPr id="11" name="图片 11" descr="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饼状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90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color w:val="000000"/>
          <w:kern w:val="0"/>
          <w:sz w:val="24"/>
          <w:lang w:bidi="ar"/>
        </w:rPr>
      </w:pPr>
      <w:r>
        <w:rPr>
          <w:rFonts w:hint="eastAsia" w:ascii="微软雅黑 Light" w:hAnsi="微软雅黑 Light" w:eastAsia="微软雅黑 Light" w:cs="微软雅黑 Light"/>
          <w:sz w:val="24"/>
        </w:rPr>
        <w:t xml:space="preserve">图 </w:t>
      </w:r>
      <w:r>
        <w:rPr>
          <w:rFonts w:ascii="微软雅黑 Light" w:hAnsi="微软雅黑 Light" w:eastAsia="微软雅黑 Light" w:cs="微软雅黑 Light"/>
          <w:sz w:val="24"/>
        </w:rPr>
        <w:t>2-</w:t>
      </w:r>
      <w:r>
        <w:rPr>
          <w:rFonts w:hint="eastAsia" w:ascii="微软雅黑 Light" w:hAnsi="微软雅黑 Light" w:eastAsia="微软雅黑 Light" w:cs="微软雅黑 Light"/>
          <w:sz w:val="24"/>
        </w:rPr>
        <w:t>1</w:t>
      </w:r>
    </w:p>
    <w:p>
      <w:pPr>
        <w:widowControl/>
        <w:spacing w:line="360" w:lineRule="auto"/>
        <w:ind w:firstLine="480" w:firstLineChars="20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选择不同阶段，页面可刷新到相应阶段情况。</w:t>
      </w:r>
    </w:p>
    <w:p>
      <w:pPr>
        <w:widowControl/>
        <w:spacing w:line="360" w:lineRule="auto"/>
        <w:ind w:firstLine="480" w:firstLineChars="20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点击【项目填报情况】饼状图，可浏览对应项目数据清单，并查看已填报项目的检查情况表。</w:t>
      </w:r>
      <w:bookmarkStart w:id="21" w:name="_GoBack"/>
      <w:bookmarkEnd w:id="21"/>
    </w:p>
    <w:p>
      <w:pPr>
        <w:widowControl/>
        <w:spacing w:line="360" w:lineRule="auto"/>
        <w:jc w:val="left"/>
      </w:pPr>
      <w:r>
        <w:drawing>
          <wp:inline distT="0" distB="0" distL="0" distR="0">
            <wp:extent cx="5274310" cy="2477770"/>
            <wp:effectExtent l="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 w:val="24"/>
        </w:rPr>
      </w:pPr>
      <w:r>
        <w:rPr>
          <w:rFonts w:hint="eastAsia" w:ascii="微软雅黑 Light" w:hAnsi="微软雅黑 Light" w:eastAsia="微软雅黑 Light" w:cs="微软雅黑 Light"/>
          <w:sz w:val="24"/>
        </w:rPr>
        <w:t>图 2</w:t>
      </w:r>
      <w:r>
        <w:rPr>
          <w:rFonts w:ascii="微软雅黑 Light" w:hAnsi="微软雅黑 Light" w:eastAsia="微软雅黑 Light" w:cs="微软雅黑 Light"/>
          <w:sz w:val="24"/>
        </w:rPr>
        <w:t>-2</w:t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 w:val="24"/>
        </w:rPr>
      </w:pPr>
    </w:p>
    <w:p>
      <w:pPr>
        <w:pStyle w:val="4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7" w:name="_Toc32363"/>
      <w:bookmarkStart w:id="8" w:name="_Toc1580"/>
      <w:r>
        <w:rPr>
          <w:rFonts w:ascii="方正黑体_GBK" w:eastAsia="方正黑体_GBK"/>
          <w:b w:val="0"/>
          <w:lang w:eastAsia="zh-CN"/>
        </w:rPr>
        <w:t xml:space="preserve">2.2 </w:t>
      </w:r>
      <w:r>
        <w:rPr>
          <w:rFonts w:hint="eastAsia" w:ascii="方正黑体_GBK" w:eastAsia="方正黑体_GBK"/>
          <w:b w:val="0"/>
          <w:lang w:eastAsia="zh-CN"/>
        </w:rPr>
        <w:t>消防检查统计上报</w:t>
      </w:r>
      <w:bookmarkEnd w:id="7"/>
      <w:bookmarkEnd w:id="8"/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“消防安全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--消防检查统计上报”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，查看项目填报汇总情况，对汇总信息进行修正。</w:t>
      </w:r>
    </w:p>
    <w:p>
      <w:pPr>
        <w:widowControl/>
        <w:spacing w:line="360" w:lineRule="auto"/>
      </w:pPr>
      <w:r>
        <w:drawing>
          <wp:inline distT="0" distB="0" distL="0" distR="0">
            <wp:extent cx="5274310" cy="2477770"/>
            <wp:effectExtent l="0" t="0" r="254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after="312" w:afterLines="100" w:line="360" w:lineRule="exact"/>
        <w:ind w:firstLine="420"/>
        <w:jc w:val="center"/>
        <w:rPr>
          <w:rFonts w:ascii="微软雅黑 Light" w:hAnsi="微软雅黑 Light" w:eastAsia="微软雅黑 Light" w:cs="微软雅黑 Light"/>
          <w:sz w:val="24"/>
        </w:rPr>
      </w:pPr>
      <w:r>
        <w:rPr>
          <w:rFonts w:hint="eastAsia" w:ascii="微软雅黑 Light" w:hAnsi="微软雅黑 Light" w:eastAsia="微软雅黑 Light" w:cs="微软雅黑 Light"/>
          <w:sz w:val="24"/>
        </w:rPr>
        <w:t>图</w:t>
      </w:r>
      <w:r>
        <w:rPr>
          <w:rFonts w:ascii="微软雅黑 Light" w:hAnsi="微软雅黑 Light" w:eastAsia="微软雅黑 Light" w:cs="微软雅黑 Light"/>
          <w:sz w:val="24"/>
        </w:rPr>
        <w:t>2-3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对各项目检查数据进行确认、修正。确认无误后，点击提交汇总，将数据上报至上级主管部门。</w:t>
      </w:r>
      <w:r>
        <w:rPr>
          <w:rFonts w:hint="eastAsia" w:ascii="方正仿宋_GBK" w:hAnsi="微软雅黑 Light" w:eastAsia="方正仿宋_GBK" w:cs="微软雅黑 Light"/>
          <w:color w:val="FF0000"/>
          <w:kern w:val="0"/>
          <w:sz w:val="24"/>
          <w:lang w:bidi="ar"/>
        </w:rPr>
        <w:t>（注:上报仅能填报一次）</w:t>
      </w:r>
    </w:p>
    <w:p>
      <w:pPr>
        <w:widowControl/>
        <w:spacing w:line="360" w:lineRule="auto"/>
        <w:jc w:val="left"/>
      </w:pPr>
      <w:r>
        <w:drawing>
          <wp:inline distT="0" distB="0" distL="0" distR="0">
            <wp:extent cx="5274310" cy="2477770"/>
            <wp:effectExtent l="0" t="0" r="254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 w:val="24"/>
        </w:rPr>
      </w:pPr>
      <w:r>
        <w:rPr>
          <w:rFonts w:hint="eastAsia" w:ascii="微软雅黑 Light" w:hAnsi="微软雅黑 Light" w:eastAsia="微软雅黑 Light" w:cs="微软雅黑 Light"/>
          <w:sz w:val="24"/>
        </w:rPr>
        <w:t>图 2</w:t>
      </w:r>
      <w:r>
        <w:rPr>
          <w:rFonts w:ascii="微软雅黑 Light" w:hAnsi="微软雅黑 Light" w:eastAsia="微软雅黑 Light" w:cs="微软雅黑 Light"/>
          <w:sz w:val="24"/>
        </w:rPr>
        <w:t>-4</w:t>
      </w:r>
    </w:p>
    <w:p>
      <w:pPr>
        <w:pStyle w:val="4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9" w:name="_Toc13059"/>
      <w:bookmarkStart w:id="10" w:name="_Toc29220"/>
      <w:r>
        <w:rPr>
          <w:rFonts w:hint="eastAsia" w:ascii="方正黑体_GBK" w:eastAsia="方正黑体_GBK"/>
          <w:b w:val="0"/>
          <w:lang w:eastAsia="zh-CN"/>
        </w:rPr>
        <w:t>2.</w:t>
      </w:r>
      <w:r>
        <w:rPr>
          <w:rFonts w:ascii="方正黑体_GBK" w:eastAsia="方正黑体_GBK"/>
          <w:b w:val="0"/>
          <w:lang w:eastAsia="zh-CN"/>
        </w:rPr>
        <w:t>3</w:t>
      </w:r>
      <w:r>
        <w:rPr>
          <w:rFonts w:hint="eastAsia" w:ascii="方正黑体_GBK" w:eastAsia="方正黑体_GBK"/>
          <w:b w:val="0"/>
          <w:lang w:eastAsia="zh-CN"/>
        </w:rPr>
        <w:t xml:space="preserve"> </w:t>
      </w:r>
      <w:bookmarkEnd w:id="9"/>
      <w:r>
        <w:rPr>
          <w:rFonts w:hint="eastAsia" w:ascii="方正黑体_GBK" w:eastAsia="方正黑体_GBK"/>
          <w:b w:val="0"/>
          <w:lang w:eastAsia="zh-CN"/>
        </w:rPr>
        <w:t>消防安全检查浏览</w:t>
      </w:r>
      <w:bookmarkEnd w:id="10"/>
      <w:r>
        <w:rPr>
          <w:rFonts w:hint="eastAsia" w:ascii="方正黑体_GBK" w:eastAsia="方正黑体_GBK"/>
          <w:b w:val="0"/>
          <w:lang w:eastAsia="zh-CN"/>
        </w:rPr>
        <w:t xml:space="preserve"> </w:t>
      </w:r>
    </w:p>
    <w:p>
      <w:pPr>
        <w:widowControl/>
        <w:spacing w:line="560" w:lineRule="exact"/>
        <w:ind w:firstLine="420"/>
        <w:jc w:val="left"/>
        <w:rPr>
          <w:rFonts w:ascii="方正仿宋_GBK" w:eastAsia="方正仿宋_GBK"/>
          <w:sz w:val="24"/>
        </w:rPr>
      </w:pPr>
      <w:r>
        <w:rPr>
          <w:rFonts w:hint="eastAsia" w:ascii="方正仿宋_GBK" w:eastAsia="方正仿宋_GBK"/>
          <w:sz w:val="24"/>
        </w:rPr>
        <w:t>打开菜单“消防安全</w:t>
      </w:r>
      <w:r>
        <w:rPr>
          <w:rFonts w:ascii="方正仿宋_GBK" w:eastAsia="方正仿宋_GBK"/>
          <w:sz w:val="24"/>
        </w:rPr>
        <w:t>--消防安全检查浏览”，页面默认展示已填报数据。</w:t>
      </w:r>
    </w:p>
    <w:p>
      <w:pPr>
        <w:widowControl/>
        <w:spacing w:line="560" w:lineRule="exact"/>
        <w:ind w:firstLine="480" w:firstLineChars="200"/>
        <w:jc w:val="left"/>
        <w:rPr>
          <w:rFonts w:ascii="方正仿宋_GBK" w:eastAsia="方正仿宋_GBK"/>
          <w:sz w:val="24"/>
        </w:rPr>
      </w:pPr>
      <w:r>
        <w:rPr>
          <w:rFonts w:hint="eastAsia" w:ascii="方正仿宋_GBK" w:eastAsia="方正仿宋_GBK"/>
          <w:sz w:val="24"/>
        </w:rPr>
        <w:t>输入查询信息点击【查询】按钮，查询相关数据。</w:t>
      </w:r>
    </w:p>
    <w:p>
      <w:pPr>
        <w:widowControl/>
        <w:spacing w:line="360" w:lineRule="auto"/>
        <w:jc w:val="left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drawing>
          <wp:inline distT="0" distB="0" distL="114300" distR="114300">
            <wp:extent cx="5266690" cy="2475865"/>
            <wp:effectExtent l="0" t="0" r="10160" b="635"/>
            <wp:docPr id="10" name="图片 10" descr="主管部门浏览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主管部门浏览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7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 w:val="24"/>
        </w:rPr>
      </w:pPr>
      <w:r>
        <w:rPr>
          <w:rFonts w:hint="eastAsia" w:ascii="微软雅黑 Light" w:hAnsi="微软雅黑 Light" w:eastAsia="微软雅黑 Light" w:cs="微软雅黑 Light"/>
          <w:sz w:val="24"/>
        </w:rPr>
        <w:t xml:space="preserve">图 </w:t>
      </w:r>
      <w:r>
        <w:rPr>
          <w:rFonts w:ascii="微软雅黑 Light" w:hAnsi="微软雅黑 Light" w:eastAsia="微软雅黑 Light" w:cs="微软雅黑 Light"/>
          <w:sz w:val="24"/>
        </w:rPr>
        <w:t>2-5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点击【查看消防安全检查表】，浏览项目消防安全专项检查填报情况。</w:t>
      </w:r>
    </w:p>
    <w:p>
      <w:pPr>
        <w:widowControl/>
        <w:jc w:val="left"/>
        <w:rPr>
          <w:rFonts w:ascii="微软雅黑 Light" w:hAnsi="微软雅黑 Light" w:eastAsia="微软雅黑 Light" w:cs="微软雅黑 Light"/>
          <w:color w:val="000000"/>
          <w:kern w:val="0"/>
          <w:sz w:val="24"/>
          <w:lang w:bidi="ar"/>
        </w:rPr>
      </w:pPr>
      <w:r>
        <w:drawing>
          <wp:inline distT="0" distB="0" distL="0" distR="0">
            <wp:extent cx="5274310" cy="247777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 w:val="24"/>
        </w:rPr>
      </w:pPr>
      <w:r>
        <w:rPr>
          <w:rFonts w:hint="eastAsia" w:ascii="微软雅黑 Light" w:hAnsi="微软雅黑 Light" w:eastAsia="微软雅黑 Light" w:cs="微软雅黑 Light"/>
          <w:sz w:val="24"/>
        </w:rPr>
        <w:t xml:space="preserve">图 </w:t>
      </w:r>
      <w:r>
        <w:rPr>
          <w:rFonts w:ascii="微软雅黑 Light" w:hAnsi="微软雅黑 Light" w:eastAsia="微软雅黑 Light" w:cs="微软雅黑 Light"/>
          <w:sz w:val="24"/>
        </w:rPr>
        <w:t>2-6</w:t>
      </w:r>
    </w:p>
    <w:p>
      <w:pPr>
        <w:pStyle w:val="2"/>
        <w:spacing w:line="560" w:lineRule="exact"/>
        <w:rPr>
          <w:rFonts w:ascii="方正黑体_GBK" w:eastAsia="方正黑体_GBK"/>
          <w:b w:val="0"/>
          <w:lang w:eastAsia="zh-CN"/>
        </w:rPr>
      </w:pPr>
      <w:bookmarkStart w:id="11" w:name="_Toc28212"/>
      <w:bookmarkStart w:id="12" w:name="_Toc32239"/>
      <w:r>
        <w:rPr>
          <w:rFonts w:hint="eastAsia" w:ascii="方正黑体_GBK" w:eastAsia="方正黑体_GBK"/>
          <w:b w:val="0"/>
          <w:lang w:eastAsia="zh-CN"/>
        </w:rPr>
        <w:t>3、</w:t>
      </w:r>
      <w:bookmarkEnd w:id="11"/>
      <w:r>
        <w:rPr>
          <w:rFonts w:hint="eastAsia" w:ascii="方正黑体_GBK" w:eastAsia="方正黑体_GBK"/>
          <w:b w:val="0"/>
          <w:lang w:eastAsia="zh-CN"/>
        </w:rPr>
        <w:t>市质安处账号登录</w:t>
      </w:r>
      <w:bookmarkEnd w:id="12"/>
      <w:r>
        <w:rPr>
          <w:rFonts w:ascii="方正黑体_GBK" w:eastAsia="方正黑体_GBK"/>
          <w:b w:val="0"/>
          <w:lang w:eastAsia="zh-CN"/>
        </w:rPr>
        <w:t xml:space="preserve"> </w:t>
      </w:r>
    </w:p>
    <w:p>
      <w:pPr>
        <w:pStyle w:val="4"/>
        <w:spacing w:line="560" w:lineRule="exact"/>
        <w:rPr>
          <w:rFonts w:ascii="方正黑体_GBK" w:eastAsia="方正黑体_GBK"/>
          <w:b w:val="0"/>
          <w:szCs w:val="32"/>
          <w:lang w:eastAsia="zh-CN"/>
        </w:rPr>
      </w:pPr>
      <w:bookmarkStart w:id="13" w:name="_Toc25133"/>
      <w:bookmarkStart w:id="14" w:name="_Toc18374"/>
      <w:r>
        <w:rPr>
          <w:rFonts w:ascii="方正黑体_GBK" w:eastAsia="方正黑体_GBK"/>
          <w:b w:val="0"/>
          <w:szCs w:val="32"/>
          <w:lang w:eastAsia="zh-CN"/>
        </w:rPr>
        <w:t xml:space="preserve">3.1 </w:t>
      </w:r>
      <w:bookmarkEnd w:id="13"/>
      <w:r>
        <w:rPr>
          <w:rFonts w:hint="eastAsia" w:ascii="方正黑体_GBK" w:eastAsia="方正黑体_GBK"/>
          <w:b w:val="0"/>
          <w:szCs w:val="32"/>
          <w:lang w:eastAsia="zh-CN"/>
        </w:rPr>
        <w:t>安全检查统计</w:t>
      </w:r>
      <w:bookmarkEnd w:id="14"/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“消防安全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--安全检查统计”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，系统获取各安监站上报情况和经统计分析后的饼状图展示，以及各地处罚企业数量、罚款金额、下发整改通知单统计。</w:t>
      </w:r>
    </w:p>
    <w:p>
      <w:pPr>
        <w:widowControl/>
        <w:spacing w:line="360" w:lineRule="auto"/>
        <w:jc w:val="center"/>
      </w:pPr>
      <w:r>
        <w:rPr>
          <w:bdr w:val="single" w:color="auto" w:sz="4" w:space="0"/>
        </w:rPr>
        <w:drawing>
          <wp:inline distT="0" distB="0" distL="114300" distR="114300">
            <wp:extent cx="5268595" cy="2139315"/>
            <wp:effectExtent l="0" t="0" r="8255" b="1333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13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 Light" w:hAnsi="微软雅黑 Light" w:eastAsia="微软雅黑 Light" w:cs="微软雅黑 Light"/>
          <w:szCs w:val="21"/>
        </w:rPr>
        <w:t>图3</w:t>
      </w:r>
      <w:r>
        <w:rPr>
          <w:rFonts w:ascii="微软雅黑 Light" w:hAnsi="微软雅黑 Light" w:eastAsia="微软雅黑 Light" w:cs="微软雅黑 Light"/>
          <w:szCs w:val="21"/>
        </w:rPr>
        <w:t>-</w:t>
      </w:r>
      <w:r>
        <w:rPr>
          <w:rFonts w:hint="eastAsia" w:ascii="微软雅黑 Light" w:hAnsi="微软雅黑 Light" w:eastAsia="微软雅黑 Light" w:cs="微软雅黑 Light"/>
          <w:szCs w:val="21"/>
        </w:rPr>
        <w:t xml:space="preserve"> 1</w:t>
      </w:r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注：点击安监站上报情况饼状图，系统弹出对应模块所有数据，输入查询信息可查找相应数据及详细内容。</w:t>
      </w:r>
    </w:p>
    <w:p>
      <w:pPr>
        <w:widowControl/>
        <w:spacing w:line="360" w:lineRule="auto"/>
        <w:jc w:val="left"/>
      </w:pPr>
      <w:r>
        <w:drawing>
          <wp:inline distT="0" distB="0" distL="0" distR="0">
            <wp:extent cx="5274310" cy="2479040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Cs w:val="21"/>
        </w:rPr>
      </w:pPr>
      <w:r>
        <w:rPr>
          <w:rFonts w:hint="eastAsia" w:ascii="微软雅黑 Light" w:hAnsi="微软雅黑 Light" w:eastAsia="微软雅黑 Light" w:cs="微软雅黑 Light"/>
          <w:szCs w:val="21"/>
        </w:rPr>
        <w:t xml:space="preserve">图 </w:t>
      </w:r>
      <w:r>
        <w:rPr>
          <w:rFonts w:ascii="微软雅黑 Light" w:hAnsi="微软雅黑 Light" w:eastAsia="微软雅黑 Light" w:cs="微软雅黑 Light"/>
          <w:szCs w:val="21"/>
        </w:rPr>
        <w:t>3-2</w:t>
      </w:r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注：鼠标悬浮于柱状图，系统弹出对应柱状图数据信息。</w:t>
      </w:r>
    </w:p>
    <w:p>
      <w:pPr>
        <w:pStyle w:val="4"/>
        <w:spacing w:line="560" w:lineRule="exact"/>
        <w:rPr>
          <w:rFonts w:ascii="方正黑体_GBK" w:eastAsia="方正黑体_GBK"/>
          <w:b w:val="0"/>
          <w:szCs w:val="32"/>
          <w:lang w:eastAsia="zh-CN"/>
        </w:rPr>
      </w:pPr>
      <w:r>
        <w:rPr>
          <w:rFonts w:ascii="方正黑体_GBK" w:eastAsia="方正黑体_GBK"/>
          <w:b w:val="0"/>
          <w:szCs w:val="32"/>
          <w:lang w:eastAsia="zh-CN"/>
        </w:rPr>
        <w:t xml:space="preserve">3.3 </w:t>
      </w:r>
      <w:r>
        <w:rPr>
          <w:rFonts w:hint="eastAsia" w:ascii="方正黑体_GBK" w:eastAsia="方正黑体_GBK"/>
          <w:b w:val="0"/>
          <w:szCs w:val="32"/>
          <w:lang w:eastAsia="zh-CN"/>
        </w:rPr>
        <w:t>安全检查汇总填报</w:t>
      </w:r>
    </w:p>
    <w:p>
      <w:pPr>
        <w:ind w:firstLine="480" w:firstLineChars="200"/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打开菜单“消防安全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--安全检查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汇总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”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，查看全市安监站安全检查情况汇总数据。</w:t>
      </w:r>
    </w:p>
    <w:p>
      <w:pP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</w:pPr>
      <w:r>
        <w:drawing>
          <wp:inline distT="0" distB="0" distL="0" distR="0">
            <wp:extent cx="5274310" cy="2477770"/>
            <wp:effectExtent l="0" t="0" r="254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Cs w:val="21"/>
        </w:rPr>
      </w:pPr>
      <w:r>
        <w:rPr>
          <w:rFonts w:hint="eastAsia" w:ascii="微软雅黑 Light" w:hAnsi="微软雅黑 Light" w:eastAsia="微软雅黑 Light" w:cs="微软雅黑 Light"/>
          <w:szCs w:val="21"/>
        </w:rPr>
        <w:t>图3</w:t>
      </w:r>
      <w:r>
        <w:rPr>
          <w:rFonts w:ascii="微软雅黑 Light" w:hAnsi="微软雅黑 Light" w:eastAsia="微软雅黑 Light" w:cs="微软雅黑 Light"/>
          <w:szCs w:val="21"/>
        </w:rPr>
        <w:t>-3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对全市检查情况汇总数据进行修正并确认。确认信息无误后，点击【提交汇总】数据上报至上级主管部门。</w:t>
      </w:r>
      <w:r>
        <w:rPr>
          <w:rFonts w:hint="eastAsia" w:ascii="方正仿宋_GBK" w:hAnsi="微软雅黑 Light" w:eastAsia="方正仿宋_GBK" w:cs="微软雅黑 Light"/>
          <w:color w:val="FF0000"/>
          <w:kern w:val="0"/>
          <w:sz w:val="24"/>
          <w:lang w:bidi="ar"/>
        </w:rPr>
        <w:t>（注:汇总仅能上报一次）</w:t>
      </w:r>
    </w:p>
    <w:p>
      <w:pP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</w:pPr>
      <w:r>
        <w:drawing>
          <wp:inline distT="0" distB="0" distL="0" distR="0">
            <wp:extent cx="5274310" cy="2508250"/>
            <wp:effectExtent l="0" t="0" r="2540" b="635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08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Cs w:val="21"/>
        </w:rPr>
      </w:pPr>
      <w:r>
        <w:rPr>
          <w:rFonts w:hint="eastAsia" w:ascii="微软雅黑 Light" w:hAnsi="微软雅黑 Light" w:eastAsia="微软雅黑 Light" w:cs="微软雅黑 Light"/>
          <w:szCs w:val="21"/>
        </w:rPr>
        <w:t>图3</w:t>
      </w:r>
      <w:r>
        <w:rPr>
          <w:rFonts w:ascii="微软雅黑 Light" w:hAnsi="微软雅黑 Light" w:eastAsia="微软雅黑 Light" w:cs="微软雅黑 Light"/>
          <w:szCs w:val="21"/>
        </w:rPr>
        <w:t>-4</w:t>
      </w:r>
    </w:p>
    <w:p>
      <w:pPr>
        <w:pStyle w:val="4"/>
        <w:spacing w:line="560" w:lineRule="exact"/>
        <w:rPr>
          <w:rFonts w:ascii="方正黑体_GBK" w:eastAsia="方正黑体_GBK"/>
          <w:b w:val="0"/>
          <w:szCs w:val="32"/>
          <w:lang w:eastAsia="zh-CN"/>
        </w:rPr>
      </w:pPr>
      <w:r>
        <w:rPr>
          <w:rFonts w:ascii="方正黑体_GBK" w:eastAsia="方正黑体_GBK"/>
          <w:b w:val="0"/>
          <w:szCs w:val="32"/>
          <w:lang w:eastAsia="zh-CN"/>
        </w:rPr>
        <w:t xml:space="preserve">3.3 </w:t>
      </w:r>
      <w:r>
        <w:rPr>
          <w:rFonts w:hint="eastAsia" w:ascii="方正黑体_GBK" w:eastAsia="方正黑体_GBK"/>
          <w:b w:val="0"/>
          <w:szCs w:val="32"/>
          <w:lang w:eastAsia="zh-CN"/>
        </w:rPr>
        <w:t>安全检查浏览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“消防安全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--安全检查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浏览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”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，可查询全市各安监站上报情况。页面默认展示已上报数据。输入查询信息，点击【查询】按钮，查找相关数据。</w:t>
      </w:r>
    </w:p>
    <w:p>
      <w:pPr>
        <w:widowControl/>
        <w:spacing w:line="360" w:lineRule="auto"/>
        <w:jc w:val="center"/>
      </w:pPr>
      <w:r>
        <w:drawing>
          <wp:inline distT="0" distB="0" distL="0" distR="0">
            <wp:extent cx="5274310" cy="2477770"/>
            <wp:effectExtent l="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7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微软雅黑 Light" w:hAnsi="微软雅黑 Light" w:eastAsia="微软雅黑 Light" w:cs="微软雅黑 Light"/>
          <w:szCs w:val="21"/>
        </w:rPr>
        <w:t xml:space="preserve">图 </w:t>
      </w:r>
      <w:r>
        <w:rPr>
          <w:rFonts w:ascii="微软雅黑 Light" w:hAnsi="微软雅黑 Light" w:eastAsia="微软雅黑 Light" w:cs="微软雅黑 Light"/>
          <w:szCs w:val="21"/>
        </w:rPr>
        <w:t>3-5</w:t>
      </w:r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查看已上报各安监站汇总信息。点击【查看详情】浏览安监站填报的“建筑施工消防安全专项检查情况填报统计”详细信息。</w:t>
      </w:r>
    </w:p>
    <w:p>
      <w:pPr>
        <w:pStyle w:val="2"/>
        <w:spacing w:line="560" w:lineRule="exact"/>
        <w:rPr>
          <w:rFonts w:ascii="方正黑体_GBK" w:eastAsia="方正黑体_GBK"/>
          <w:b w:val="0"/>
          <w:lang w:eastAsia="zh-CN"/>
        </w:rPr>
      </w:pPr>
      <w:r>
        <w:rPr>
          <w:rFonts w:hint="eastAsia" w:ascii="方正黑体_GBK" w:eastAsia="方正黑体_GBK"/>
          <w:b w:val="0"/>
          <w:lang w:eastAsia="zh-CN"/>
        </w:rPr>
        <w:t>4、省</w:t>
      </w:r>
      <w:r>
        <w:rPr>
          <w:rFonts w:hint="eastAsia" w:ascii="方正黑体_GBK" w:eastAsia="方正黑体_GBK"/>
          <w:b w:val="0"/>
          <w:lang w:val="en-US" w:eastAsia="zh-CN"/>
        </w:rPr>
        <w:t>住建厅</w:t>
      </w:r>
      <w:r>
        <w:rPr>
          <w:rFonts w:hint="eastAsia" w:ascii="方正黑体_GBK" w:eastAsia="方正黑体_GBK"/>
          <w:b w:val="0"/>
          <w:lang w:eastAsia="zh-CN"/>
        </w:rPr>
        <w:t>登录</w:t>
      </w:r>
      <w:r>
        <w:rPr>
          <w:rFonts w:ascii="方正黑体_GBK" w:eastAsia="方正黑体_GBK"/>
          <w:b w:val="0"/>
          <w:lang w:eastAsia="zh-CN"/>
        </w:rPr>
        <w:t xml:space="preserve"> </w:t>
      </w:r>
    </w:p>
    <w:p>
      <w:pPr>
        <w:pStyle w:val="4"/>
        <w:spacing w:line="560" w:lineRule="exact"/>
        <w:rPr>
          <w:rFonts w:ascii="方正黑体_GBK" w:eastAsia="方正黑体_GBK"/>
          <w:b w:val="0"/>
          <w:szCs w:val="32"/>
          <w:lang w:eastAsia="zh-CN"/>
        </w:rPr>
      </w:pPr>
      <w:r>
        <w:rPr>
          <w:rFonts w:hint="eastAsia" w:ascii="方正黑体_GBK" w:eastAsia="方正黑体_GBK"/>
          <w:b w:val="0"/>
          <w:szCs w:val="32"/>
          <w:lang w:eastAsia="zh-CN"/>
        </w:rPr>
        <w:t>4</w:t>
      </w:r>
      <w:r>
        <w:rPr>
          <w:rFonts w:ascii="方正黑体_GBK" w:eastAsia="方正黑体_GBK"/>
          <w:b w:val="0"/>
          <w:szCs w:val="32"/>
          <w:lang w:eastAsia="zh-CN"/>
        </w:rPr>
        <w:t xml:space="preserve">.1 </w:t>
      </w:r>
      <w:r>
        <w:rPr>
          <w:rFonts w:hint="eastAsia" w:ascii="方正黑体_GBK" w:eastAsia="方正黑体_GBK"/>
          <w:b w:val="0"/>
          <w:szCs w:val="32"/>
          <w:lang w:eastAsia="zh-CN"/>
        </w:rPr>
        <w:t>安全检查统计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打开菜单</w:t>
      </w:r>
      <w:r>
        <w:rPr>
          <w:rFonts w:hint="eastAsia"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“消防安全</w:t>
      </w:r>
      <w:r>
        <w:rPr>
          <w:rFonts w:ascii="方正仿宋_GBK" w:hAnsi="微软雅黑 Light" w:eastAsia="方正仿宋_GBK" w:cs="微软雅黑 Light"/>
          <w:bCs/>
          <w:color w:val="000000"/>
          <w:kern w:val="0"/>
          <w:sz w:val="24"/>
          <w:lang w:bidi="ar"/>
        </w:rPr>
        <w:t>--安全检查统计”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，系统获取各设区市上报情况、安监站上报情况和经统计分析后的饼状图展示，以及各地处罚企业数量、罚款金额、下发整改通知单柱状图。</w:t>
      </w:r>
    </w:p>
    <w:p>
      <w:pPr>
        <w:widowControl/>
        <w:spacing w:line="360" w:lineRule="auto"/>
        <w:jc w:val="left"/>
      </w:pPr>
      <w:r>
        <w:rPr>
          <w:rFonts w:hint="eastAsia"/>
        </w:rPr>
        <w:drawing>
          <wp:inline distT="0" distB="0" distL="114300" distR="114300">
            <wp:extent cx="5273675" cy="2347595"/>
            <wp:effectExtent l="0" t="0" r="3175" b="14605"/>
            <wp:docPr id="2" name="图片 2" descr="省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省饼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347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微软雅黑 Light" w:hAnsi="微软雅黑 Light" w:eastAsia="微软雅黑 Light" w:cs="微软雅黑 Light"/>
          <w:szCs w:val="21"/>
        </w:rPr>
      </w:pPr>
      <w:r>
        <w:rPr>
          <w:rFonts w:hint="eastAsia" w:ascii="微软雅黑 Light" w:hAnsi="微软雅黑 Light" w:eastAsia="微软雅黑 Light" w:cs="微软雅黑 Light"/>
          <w:szCs w:val="21"/>
        </w:rPr>
        <w:t xml:space="preserve">图 </w:t>
      </w:r>
      <w:r>
        <w:rPr>
          <w:rFonts w:ascii="微软雅黑 Light" w:hAnsi="微软雅黑 Light" w:eastAsia="微软雅黑 Light" w:cs="微软雅黑 Light"/>
          <w:szCs w:val="21"/>
        </w:rPr>
        <w:t>4-</w:t>
      </w:r>
      <w:r>
        <w:rPr>
          <w:rFonts w:hint="eastAsia" w:ascii="微软雅黑 Light" w:hAnsi="微软雅黑 Light" w:eastAsia="微软雅黑 Light" w:cs="微软雅黑 Light"/>
          <w:szCs w:val="21"/>
        </w:rPr>
        <w:t>1</w:t>
      </w:r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注：点击安监站上报情况饼状图，系统弹出对应模块所有数据，通过查询条件可查找相应数据详细内容。</w:t>
      </w:r>
    </w:p>
    <w:p>
      <w:pPr>
        <w:widowControl/>
        <w:spacing w:line="360" w:lineRule="auto"/>
        <w:jc w:val="center"/>
      </w:pPr>
      <w:r>
        <w:rPr>
          <w:rFonts w:hint="eastAsia"/>
          <w:bdr w:val="single" w:color="auto" w:sz="4" w:space="0"/>
        </w:rPr>
        <w:drawing>
          <wp:inline distT="0" distB="0" distL="114300" distR="114300">
            <wp:extent cx="5269230" cy="2520315"/>
            <wp:effectExtent l="0" t="0" r="7620" b="13335"/>
            <wp:docPr id="13" name="图片 13" descr="柱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柱状图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2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微软雅黑 Light" w:hAnsi="微软雅黑 Light" w:eastAsia="微软雅黑 Light" w:cs="微软雅黑 Light"/>
          <w:szCs w:val="21"/>
        </w:rPr>
        <w:t xml:space="preserve">图 </w:t>
      </w:r>
      <w:r>
        <w:rPr>
          <w:rFonts w:ascii="微软雅黑 Light" w:hAnsi="微软雅黑 Light" w:eastAsia="微软雅黑 Light" w:cs="微软雅黑 Light"/>
          <w:szCs w:val="21"/>
        </w:rPr>
        <w:t>4-2</w:t>
      </w:r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注：鼠标悬浮于柱状图，系统弹出对应柱状图数据信息。</w:t>
      </w:r>
    </w:p>
    <w:p>
      <w:pPr>
        <w:pStyle w:val="2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15" w:name="_Toc31820"/>
      <w:bookmarkStart w:id="16" w:name="_Toc30128"/>
      <w:r>
        <w:rPr>
          <w:rFonts w:ascii="方正黑体_GBK" w:eastAsia="方正黑体_GBK"/>
          <w:b w:val="0"/>
          <w:lang w:eastAsia="zh-CN"/>
        </w:rPr>
        <w:t>5</w:t>
      </w:r>
      <w:r>
        <w:rPr>
          <w:rFonts w:hint="eastAsia" w:ascii="方正黑体_GBK" w:eastAsia="方正黑体_GBK"/>
          <w:b w:val="0"/>
          <w:lang w:eastAsia="zh-CN"/>
        </w:rPr>
        <w:t>、消息中心</w:t>
      </w:r>
      <w:bookmarkEnd w:id="15"/>
      <w:bookmarkEnd w:id="16"/>
    </w:p>
    <w:p>
      <w:pPr>
        <w:widowControl/>
        <w:spacing w:line="360" w:lineRule="auto"/>
        <w:ind w:firstLine="480" w:firstLineChars="200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查看系统通知，如安监站对项目见检查开单的信息，提交的内容申请通过或被退回；系统优化内容等，也可点击右上角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“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“图标浏览，如下图所示。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 xml:space="preserve"> </w:t>
      </w:r>
    </w:p>
    <w:p>
      <w:pPr>
        <w:widowControl/>
        <w:spacing w:line="360" w:lineRule="auto"/>
        <w:jc w:val="left"/>
        <w:rPr>
          <w:rFonts w:ascii="宋体" w:hAnsi="宋体" w:eastAsia="宋体" w:cs="宋体"/>
          <w:b/>
          <w:bCs/>
          <w:sz w:val="32"/>
          <w:szCs w:val="32"/>
        </w:rPr>
      </w:pPr>
      <w:r>
        <w:drawing>
          <wp:inline distT="0" distB="0" distL="114300" distR="114300">
            <wp:extent cx="5261610" cy="254635"/>
            <wp:effectExtent l="0" t="0" r="15240" b="12065"/>
            <wp:docPr id="53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39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4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360" w:lineRule="auto"/>
        <w:jc w:val="center"/>
        <w:rPr>
          <w:rFonts w:ascii="宋体" w:hAnsi="宋体" w:eastAsia="宋体" w:cs="宋体"/>
          <w:b/>
          <w:bCs/>
          <w:szCs w:val="21"/>
        </w:rPr>
      </w:pPr>
      <w:r>
        <w:rPr>
          <w:rFonts w:hint="eastAsia" w:ascii="微软雅黑 Light" w:hAnsi="微软雅黑 Light" w:eastAsia="微软雅黑 Light" w:cs="微软雅黑 Light"/>
          <w:szCs w:val="21"/>
        </w:rPr>
        <w:t xml:space="preserve">图 </w:t>
      </w:r>
      <w:r>
        <w:rPr>
          <w:rFonts w:ascii="微软雅黑 Light" w:hAnsi="微软雅黑 Light" w:eastAsia="微软雅黑 Light" w:cs="微软雅黑 Light"/>
          <w:szCs w:val="21"/>
        </w:rPr>
        <w:t>5-1</w:t>
      </w:r>
    </w:p>
    <w:p>
      <w:pPr>
        <w:pStyle w:val="2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17" w:name="_Toc28039"/>
      <w:bookmarkStart w:id="18" w:name="_Toc26420"/>
      <w:r>
        <w:rPr>
          <w:rFonts w:ascii="方正黑体_GBK" w:eastAsia="方正黑体_GBK"/>
          <w:b w:val="0"/>
          <w:lang w:eastAsia="zh-CN"/>
        </w:rPr>
        <w:t>6</w:t>
      </w:r>
      <w:r>
        <w:rPr>
          <w:rFonts w:hint="eastAsia" w:ascii="方正黑体_GBK" w:eastAsia="方正黑体_GBK"/>
          <w:b w:val="0"/>
          <w:lang w:eastAsia="zh-CN"/>
        </w:rPr>
        <w:t>、资料查询</w:t>
      </w:r>
      <w:bookmarkEnd w:id="17"/>
      <w:bookmarkEnd w:id="18"/>
      <w:r>
        <w:rPr>
          <w:rFonts w:ascii="方正黑体_GBK" w:eastAsia="方正黑体_GBK"/>
          <w:b w:val="0"/>
          <w:lang w:eastAsia="zh-CN"/>
        </w:rPr>
        <w:t xml:space="preserve"> </w:t>
      </w:r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可浏览江苏省住建厅或各地方监督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机构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发布的文件。</w:t>
      </w:r>
    </w:p>
    <w:p>
      <w:pPr>
        <w:pStyle w:val="2"/>
        <w:spacing w:before="0" w:line="560" w:lineRule="exact"/>
        <w:rPr>
          <w:rFonts w:ascii="方正黑体_GBK" w:eastAsia="方正黑体_GBK"/>
          <w:b w:val="0"/>
          <w:lang w:eastAsia="zh-CN"/>
        </w:rPr>
      </w:pPr>
      <w:bookmarkStart w:id="19" w:name="_Toc24230"/>
      <w:bookmarkStart w:id="20" w:name="_Toc66435539"/>
      <w:r>
        <w:rPr>
          <w:rFonts w:ascii="方正黑体_GBK" w:eastAsia="方正黑体_GBK"/>
          <w:b w:val="0"/>
          <w:lang w:eastAsia="zh-CN"/>
        </w:rPr>
        <w:t>7</w:t>
      </w:r>
      <w:r>
        <w:rPr>
          <w:rFonts w:hint="eastAsia" w:ascii="方正黑体_GBK" w:eastAsia="方正黑体_GBK"/>
          <w:b w:val="0"/>
          <w:lang w:eastAsia="zh-CN"/>
        </w:rPr>
        <w:t>、技术支持</w:t>
      </w:r>
      <w:bookmarkEnd w:id="19"/>
      <w:bookmarkEnd w:id="20"/>
    </w:p>
    <w:p>
      <w:pPr>
        <w:widowControl/>
        <w:spacing w:line="560" w:lineRule="exact"/>
        <w:ind w:firstLine="420"/>
        <w:jc w:val="left"/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</w:pP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省系统技术支持电话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:025-87716961</w:t>
      </w:r>
      <w:r>
        <w:rPr>
          <w:rFonts w:hint="eastAsia" w:ascii="方正仿宋_GBK" w:hAnsi="微软雅黑 Light" w:eastAsia="方正仿宋_GBK" w:cs="微软雅黑 Light"/>
          <w:color w:val="000000"/>
          <w:kern w:val="0"/>
          <w:sz w:val="24"/>
          <w:lang w:bidi="ar"/>
        </w:rPr>
        <w:t>；省系统技术支持</w:t>
      </w:r>
      <w:r>
        <w:rPr>
          <w:rFonts w:ascii="方正仿宋_GBK" w:hAnsi="微软雅黑 Light" w:eastAsia="方正仿宋_GBK" w:cs="微软雅黑 Light"/>
          <w:color w:val="000000"/>
          <w:kern w:val="0"/>
          <w:sz w:val="24"/>
          <w:lang w:bidi="ar"/>
        </w:rPr>
        <w:t>QQ群：195231352，1139241826</w:t>
      </w:r>
    </w:p>
    <w:p>
      <w:pPr>
        <w:spacing w:line="56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F1D069B-4021-470F-9740-3B8726A00401}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  <w:embedRegular r:id="rId2" w:fontKey="{E5137E8C-66B4-4C96-B151-DC8791973F04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E2B680B3-7CE9-445B-AF6D-32C8F3010875}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  <w:embedRegular r:id="rId4" w:fontKey="{FD5D576D-1F0F-40F0-8105-28D6149E280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F187B77"/>
    <w:multiLevelType w:val="singleLevel"/>
    <w:tmpl w:val="6F187B77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8CF32C0"/>
    <w:rsid w:val="00034209"/>
    <w:rsid w:val="00055F01"/>
    <w:rsid w:val="001001E3"/>
    <w:rsid w:val="001E47D3"/>
    <w:rsid w:val="002C04A6"/>
    <w:rsid w:val="0033406E"/>
    <w:rsid w:val="00460889"/>
    <w:rsid w:val="004C3437"/>
    <w:rsid w:val="00525A49"/>
    <w:rsid w:val="00536765"/>
    <w:rsid w:val="00545845"/>
    <w:rsid w:val="005A0A19"/>
    <w:rsid w:val="005C4ED2"/>
    <w:rsid w:val="005D42A5"/>
    <w:rsid w:val="005E2DBB"/>
    <w:rsid w:val="00646D08"/>
    <w:rsid w:val="00652DF7"/>
    <w:rsid w:val="00797A08"/>
    <w:rsid w:val="00805364"/>
    <w:rsid w:val="008C7416"/>
    <w:rsid w:val="00AB4523"/>
    <w:rsid w:val="00AE0F2C"/>
    <w:rsid w:val="00B106CD"/>
    <w:rsid w:val="00B65DF5"/>
    <w:rsid w:val="00B9728D"/>
    <w:rsid w:val="00BC23B4"/>
    <w:rsid w:val="00C107D4"/>
    <w:rsid w:val="00C6123F"/>
    <w:rsid w:val="00CC3B2A"/>
    <w:rsid w:val="00D56138"/>
    <w:rsid w:val="00DA0C82"/>
    <w:rsid w:val="00E257ED"/>
    <w:rsid w:val="00E72953"/>
    <w:rsid w:val="00E775C7"/>
    <w:rsid w:val="00EC400C"/>
    <w:rsid w:val="00EF220F"/>
    <w:rsid w:val="00F3142A"/>
    <w:rsid w:val="00FA00F1"/>
    <w:rsid w:val="00FB2CEE"/>
    <w:rsid w:val="08500BB1"/>
    <w:rsid w:val="0A3B59B5"/>
    <w:rsid w:val="0B9D425B"/>
    <w:rsid w:val="11301FEB"/>
    <w:rsid w:val="14E362C3"/>
    <w:rsid w:val="16CE7946"/>
    <w:rsid w:val="19324427"/>
    <w:rsid w:val="38CF32C0"/>
    <w:rsid w:val="434A3F97"/>
    <w:rsid w:val="50054EE8"/>
    <w:rsid w:val="50C56987"/>
    <w:rsid w:val="61967B7D"/>
    <w:rsid w:val="681F5143"/>
    <w:rsid w:val="75011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spacing w:before="480"/>
      <w:outlineLvl w:val="0"/>
    </w:pPr>
    <w:rPr>
      <w:rFonts w:cs="宋体" w:asciiTheme="majorHAnsi" w:hAnsiTheme="majorHAnsi" w:eastAsiaTheme="majorEastAsia"/>
      <w:b/>
      <w:color w:val="000000" w:themeColor="text1"/>
      <w:sz w:val="32"/>
      <w:szCs w:val="32"/>
      <w:lang w:eastAsia="en-US"/>
      <w14:textFill>
        <w14:solidFill>
          <w14:schemeClr w14:val="tx1"/>
        </w14:solidFill>
      </w14:textFill>
    </w:rPr>
  </w:style>
  <w:style w:type="paragraph" w:styleId="4">
    <w:name w:val="heading 2"/>
    <w:basedOn w:val="1"/>
    <w:next w:val="3"/>
    <w:link w:val="13"/>
    <w:unhideWhenUsed/>
    <w:qFormat/>
    <w:uiPriority w:val="0"/>
    <w:pPr>
      <w:keepNext/>
      <w:keepLines/>
      <w:spacing w:before="200"/>
      <w:outlineLvl w:val="1"/>
    </w:pPr>
    <w:rPr>
      <w:rFonts w:cs="宋体" w:asciiTheme="majorHAnsi" w:hAnsiTheme="majorHAnsi" w:eastAsiaTheme="majorEastAsia"/>
      <w:b/>
      <w:color w:val="000000" w:themeColor="text1"/>
      <w:sz w:val="32"/>
      <w:szCs w:val="30"/>
      <w:lang w:eastAsia="en-US"/>
      <w14:textFill>
        <w14:solidFill>
          <w14:schemeClr w14:val="tx1"/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5">
    <w:name w:val="Balloon Text"/>
    <w:basedOn w:val="1"/>
    <w:link w:val="14"/>
    <w:uiPriority w:val="0"/>
    <w:rPr>
      <w:sz w:val="18"/>
      <w:szCs w:val="18"/>
    </w:rPr>
  </w:style>
  <w:style w:type="paragraph" w:styleId="6">
    <w:name w:val="footer"/>
    <w:basedOn w:val="1"/>
    <w:link w:val="16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qFormat/>
    <w:uiPriority w:val="39"/>
  </w:style>
  <w:style w:type="paragraph" w:styleId="9">
    <w:name w:val="toc 2"/>
    <w:basedOn w:val="1"/>
    <w:next w:val="1"/>
    <w:qFormat/>
    <w:uiPriority w:val="39"/>
    <w:pPr>
      <w:ind w:left="420" w:leftChars="200"/>
    </w:pPr>
  </w:style>
  <w:style w:type="character" w:styleId="12">
    <w:name w:val="Hyperlink"/>
    <w:basedOn w:val="11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标题 2 字符"/>
    <w:link w:val="4"/>
    <w:qFormat/>
    <w:uiPriority w:val="0"/>
    <w:rPr>
      <w:rFonts w:cs="宋体" w:asciiTheme="majorHAnsi" w:hAnsiTheme="majorHAnsi" w:eastAsiaTheme="majorEastAsia"/>
      <w:b/>
      <w:color w:val="000000" w:themeColor="text1"/>
      <w:sz w:val="32"/>
      <w:szCs w:val="30"/>
      <w:lang w:eastAsia="en-US"/>
      <w14:textFill>
        <w14:solidFill>
          <w14:schemeClr w14:val="tx1"/>
        </w14:solidFill>
      </w14:textFill>
    </w:rPr>
  </w:style>
  <w:style w:type="character" w:customStyle="1" w:styleId="14">
    <w:name w:val="批注框文本 字符"/>
    <w:basedOn w:val="11"/>
    <w:link w:val="5"/>
    <w:qFormat/>
    <w:uiPriority w:val="0"/>
    <w:rPr>
      <w:kern w:val="2"/>
      <w:sz w:val="18"/>
      <w:szCs w:val="18"/>
    </w:rPr>
  </w:style>
  <w:style w:type="character" w:customStyle="1" w:styleId="15">
    <w:name w:val="页眉 字符"/>
    <w:basedOn w:val="11"/>
    <w:link w:val="7"/>
    <w:qFormat/>
    <w:uiPriority w:val="0"/>
    <w:rPr>
      <w:kern w:val="2"/>
      <w:sz w:val="18"/>
      <w:szCs w:val="18"/>
    </w:rPr>
  </w:style>
  <w:style w:type="character" w:customStyle="1" w:styleId="16">
    <w:name w:val="页脚 字符"/>
    <w:basedOn w:val="11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customXml" Target="../customXml/item1.xml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12</Pages>
  <Words>1583</Words>
  <Characters>1681</Characters>
  <Lines>17</Lines>
  <Paragraphs>4</Paragraphs>
  <TotalTime>144</TotalTime>
  <ScaleCrop>false</ScaleCrop>
  <LinksUpToDate>false</LinksUpToDate>
  <CharactersWithSpaces>1745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2022-03-22T06:34:00Z</dcterms:created>
  <dc:creator>何岩钰</dc:creator>
  <cp:lastModifiedBy>付驰</cp:lastModifiedBy>
  <dcterms:modified xsi:type="dcterms:W3CDTF">2022-03-25T03:10:19Z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920592C38D1B48D694D09E74EDBCAFA4</vt:lpwstr>
  </property>
</Properties>
</file>