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40" w:lineRule="exact"/>
        <w:jc w:val="left"/>
        <w:rPr>
          <w:rFonts w:ascii="方正黑体_GBK" w:hAnsi="Times New Roman" w:eastAsia="方正黑体_GBK" w:cs="Times New Roman"/>
          <w:bCs/>
          <w:kern w:val="0"/>
          <w:sz w:val="32"/>
          <w:szCs w:val="32"/>
        </w:rPr>
      </w:pPr>
      <w:bookmarkStart w:id="0" w:name="_Hlk24113241"/>
      <w:r>
        <w:rPr>
          <w:rFonts w:hint="eastAsia" w:ascii="方正黑体_GBK" w:hAnsi="Times New Roman" w:eastAsia="方正黑体_GBK" w:cs="Times New Roman"/>
          <w:bCs/>
          <w:kern w:val="0"/>
          <w:sz w:val="32"/>
          <w:szCs w:val="32"/>
        </w:rPr>
        <w:t>附件1</w:t>
      </w:r>
    </w:p>
    <w:p>
      <w:pPr>
        <w:widowControl/>
        <w:spacing w:line="540" w:lineRule="exact"/>
        <w:jc w:val="left"/>
        <w:rPr>
          <w:rFonts w:ascii="方正小标宋_GBK" w:hAnsi="Times New Roman" w:eastAsia="方正小标宋_GBK" w:cs="Times New Roman"/>
          <w:bCs/>
          <w:kern w:val="0"/>
          <w:sz w:val="44"/>
          <w:szCs w:val="44"/>
        </w:rPr>
      </w:pPr>
    </w:p>
    <w:p>
      <w:pPr>
        <w:widowControl/>
        <w:spacing w:line="540" w:lineRule="exact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方正小标宋_GBK" w:hAnsi="Times New Roman" w:eastAsia="方正小标宋_GBK" w:cs="Times New Roman"/>
          <w:bCs/>
          <w:kern w:val="0"/>
          <w:sz w:val="44"/>
          <w:szCs w:val="44"/>
        </w:rPr>
        <w:t>2019年江苏省工程建设标准和标准设计</w:t>
      </w:r>
    </w:p>
    <w:p>
      <w:pPr>
        <w:widowControl/>
        <w:spacing w:line="540" w:lineRule="exact"/>
        <w:jc w:val="center"/>
        <w:rPr>
          <w:rFonts w:ascii="方正小标宋_GBK" w:hAnsi="Times New Roman" w:eastAsia="方正小标宋_GBK" w:cs="Times New Roman"/>
          <w:bCs/>
          <w:kern w:val="0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bCs/>
          <w:kern w:val="0"/>
          <w:sz w:val="44"/>
          <w:szCs w:val="44"/>
        </w:rPr>
        <w:t>复审结果</w:t>
      </w:r>
    </w:p>
    <w:bookmarkEnd w:id="0"/>
    <w:p>
      <w:pPr>
        <w:widowControl/>
        <w:spacing w:line="540" w:lineRule="exact"/>
        <w:jc w:val="center"/>
        <w:rPr>
          <w:rFonts w:ascii="宋体" w:hAnsi="宋体" w:eastAsia="宋体" w:cs="宋体"/>
          <w:kern w:val="0"/>
          <w:sz w:val="24"/>
          <w:szCs w:val="24"/>
        </w:rPr>
      </w:pPr>
    </w:p>
    <w:p>
      <w:pPr>
        <w:widowControl/>
        <w:tabs>
          <w:tab w:val="left" w:pos="720"/>
        </w:tabs>
        <w:spacing w:line="540" w:lineRule="exact"/>
        <w:ind w:left="720" w:hanging="720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方正黑体_GBK" w:hAnsi="Calibri" w:eastAsia="方正黑体_GBK" w:cs="方正黑体_GBK"/>
          <w:bCs/>
          <w:kern w:val="0"/>
          <w:sz w:val="32"/>
          <w:szCs w:val="32"/>
        </w:rPr>
        <w:t>一、</w:t>
      </w:r>
      <w:r>
        <w:rPr>
          <w:rFonts w:ascii="Times New Roman" w:hAnsi="Times New Roman" w:eastAsia="方正黑体_GBK" w:cs="Times New Roman"/>
          <w:bCs/>
          <w:kern w:val="0"/>
          <w:sz w:val="14"/>
          <w:szCs w:val="14"/>
        </w:rPr>
        <w:t xml:space="preserve">  </w:t>
      </w:r>
      <w:r>
        <w:rPr>
          <w:rFonts w:hint="eastAsia" w:ascii="方正黑体_GBK" w:hAnsi="Times New Roman" w:eastAsia="方正黑体_GBK" w:cs="Times New Roman"/>
          <w:bCs/>
          <w:kern w:val="0"/>
          <w:sz w:val="32"/>
          <w:szCs w:val="32"/>
        </w:rPr>
        <w:t>继续有效</w:t>
      </w:r>
    </w:p>
    <w:tbl>
      <w:tblPr>
        <w:tblStyle w:val="2"/>
        <w:tblW w:w="9859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"/>
        <w:gridCol w:w="2620"/>
        <w:gridCol w:w="3119"/>
        <w:gridCol w:w="355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" w:hRule="atLeast"/>
          <w:tblHeader/>
          <w:jc w:val="center"/>
        </w:trPr>
        <w:tc>
          <w:tcPr>
            <w:tcW w:w="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kern w:val="0"/>
                <w:sz w:val="28"/>
                <w:szCs w:val="28"/>
              </w:rPr>
              <w:t>序号</w:t>
            </w:r>
          </w:p>
        </w:tc>
        <w:tc>
          <w:tcPr>
            <w:tcW w:w="2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kern w:val="0"/>
                <w:sz w:val="28"/>
                <w:szCs w:val="28"/>
              </w:rPr>
              <w:t>编号</w:t>
            </w:r>
          </w:p>
        </w:tc>
        <w:tc>
          <w:tcPr>
            <w:tcW w:w="31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kern w:val="0"/>
                <w:sz w:val="28"/>
                <w:szCs w:val="28"/>
              </w:rPr>
              <w:t>名称</w:t>
            </w:r>
          </w:p>
        </w:tc>
        <w:tc>
          <w:tcPr>
            <w:tcW w:w="35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kern w:val="0"/>
                <w:sz w:val="28"/>
                <w:szCs w:val="28"/>
              </w:rPr>
              <w:t>原主编单位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" w:hRule="atLeast"/>
          <w:jc w:val="center"/>
        </w:trPr>
        <w:tc>
          <w:tcPr>
            <w:tcW w:w="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2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DGJ32/J16-2014</w:t>
            </w:r>
          </w:p>
        </w:tc>
        <w:tc>
          <w:tcPr>
            <w:tcW w:w="31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住宅工程质量通病控制标准</w:t>
            </w:r>
          </w:p>
        </w:tc>
        <w:tc>
          <w:tcPr>
            <w:tcW w:w="35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江苏省建设工程质量监督总站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" w:hRule="atLeast"/>
          <w:jc w:val="center"/>
        </w:trPr>
        <w:tc>
          <w:tcPr>
            <w:tcW w:w="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2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DGJ32/TJ160-2014</w:t>
            </w:r>
          </w:p>
        </w:tc>
        <w:tc>
          <w:tcPr>
            <w:tcW w:w="31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钠基膨润土防水毯施工技术规程</w:t>
            </w:r>
          </w:p>
        </w:tc>
        <w:tc>
          <w:tcPr>
            <w:tcW w:w="35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通州建总集团有限公司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" w:hRule="atLeast"/>
          <w:jc w:val="center"/>
        </w:trPr>
        <w:tc>
          <w:tcPr>
            <w:tcW w:w="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2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DGJ32/TJ164-2014</w:t>
            </w:r>
          </w:p>
        </w:tc>
        <w:tc>
          <w:tcPr>
            <w:tcW w:w="31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工程建设监理企业质量管理规范</w:t>
            </w:r>
          </w:p>
        </w:tc>
        <w:tc>
          <w:tcPr>
            <w:tcW w:w="35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江苏省建设监理协会、江苏建科建设监理有限公司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" w:hRule="atLeast"/>
          <w:jc w:val="center"/>
        </w:trPr>
        <w:tc>
          <w:tcPr>
            <w:tcW w:w="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4</w:t>
            </w:r>
          </w:p>
        </w:tc>
        <w:tc>
          <w:tcPr>
            <w:tcW w:w="2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DGJ32/TJ165-2014</w:t>
            </w:r>
          </w:p>
        </w:tc>
        <w:tc>
          <w:tcPr>
            <w:tcW w:w="31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建筑反射隔热涂料保温系统应用技术规程</w:t>
            </w:r>
          </w:p>
        </w:tc>
        <w:tc>
          <w:tcPr>
            <w:tcW w:w="35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江苏省建筑科学研究院有限公司、江苏晨光涂料有限公司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" w:hRule="atLeast"/>
          <w:jc w:val="center"/>
        </w:trPr>
        <w:tc>
          <w:tcPr>
            <w:tcW w:w="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5</w:t>
            </w:r>
          </w:p>
        </w:tc>
        <w:tc>
          <w:tcPr>
            <w:tcW w:w="2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DGJ32/TJ167-2014</w:t>
            </w:r>
          </w:p>
        </w:tc>
        <w:tc>
          <w:tcPr>
            <w:tcW w:w="31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烧结保温砖( 砌块)自保温墙体系统应用技术规程</w:t>
            </w:r>
          </w:p>
        </w:tc>
        <w:tc>
          <w:tcPr>
            <w:tcW w:w="35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江苏省建筑节能技术中心、江苏省住房和城乡建设厅科技发展中心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" w:hRule="atLeast"/>
          <w:jc w:val="center"/>
        </w:trPr>
        <w:tc>
          <w:tcPr>
            <w:tcW w:w="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6</w:t>
            </w:r>
          </w:p>
        </w:tc>
        <w:tc>
          <w:tcPr>
            <w:tcW w:w="2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DGJ32/TJ168-2014</w:t>
            </w:r>
          </w:p>
        </w:tc>
        <w:tc>
          <w:tcPr>
            <w:tcW w:w="31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有机填料型人工湿地生活污水处理技术规程</w:t>
            </w:r>
          </w:p>
        </w:tc>
        <w:tc>
          <w:tcPr>
            <w:tcW w:w="35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江苏省住房和城乡建设厅科技发展中心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" w:hRule="atLeast"/>
          <w:jc w:val="center"/>
        </w:trPr>
        <w:tc>
          <w:tcPr>
            <w:tcW w:w="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7</w:t>
            </w:r>
          </w:p>
        </w:tc>
        <w:tc>
          <w:tcPr>
            <w:tcW w:w="2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DGJ32/TJ170-2014</w:t>
            </w:r>
          </w:p>
        </w:tc>
        <w:tc>
          <w:tcPr>
            <w:tcW w:w="31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太阳能热水系统建筑应用能效测评技术规程</w:t>
            </w:r>
          </w:p>
        </w:tc>
        <w:tc>
          <w:tcPr>
            <w:tcW w:w="35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江苏省住房和城乡建设厅科技发展中心、南京工业大学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" w:hRule="atLeast"/>
          <w:jc w:val="center"/>
        </w:trPr>
        <w:tc>
          <w:tcPr>
            <w:tcW w:w="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8</w:t>
            </w:r>
          </w:p>
        </w:tc>
        <w:tc>
          <w:tcPr>
            <w:tcW w:w="2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DGJ32/TJ171-2014</w:t>
            </w:r>
          </w:p>
        </w:tc>
        <w:tc>
          <w:tcPr>
            <w:tcW w:w="31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地源热泵系统建筑应用能效测评技术规程</w:t>
            </w:r>
          </w:p>
        </w:tc>
        <w:tc>
          <w:tcPr>
            <w:tcW w:w="35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南京工业大学、南京工大建设工程技术有限公司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" w:hRule="atLeast"/>
          <w:jc w:val="center"/>
        </w:trPr>
        <w:tc>
          <w:tcPr>
            <w:tcW w:w="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9</w:t>
            </w:r>
          </w:p>
        </w:tc>
        <w:tc>
          <w:tcPr>
            <w:tcW w:w="2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DGJ32/TJ172-2014</w:t>
            </w:r>
          </w:p>
        </w:tc>
        <w:tc>
          <w:tcPr>
            <w:tcW w:w="31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城市道路环卫机械化作业质量标准</w:t>
            </w:r>
          </w:p>
        </w:tc>
        <w:tc>
          <w:tcPr>
            <w:tcW w:w="35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苏州市环境卫生管理处、江苏省住房和城乡建设厅原城市建设与管理处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" w:hRule="atLeast"/>
          <w:jc w:val="center"/>
        </w:trPr>
        <w:tc>
          <w:tcPr>
            <w:tcW w:w="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10</w:t>
            </w:r>
          </w:p>
        </w:tc>
        <w:tc>
          <w:tcPr>
            <w:tcW w:w="2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DGJ32/TJ174-2014</w:t>
            </w:r>
          </w:p>
        </w:tc>
        <w:tc>
          <w:tcPr>
            <w:tcW w:w="31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复合发泡水泥板外墙外保温系统应用技术规程</w:t>
            </w:r>
          </w:p>
        </w:tc>
        <w:tc>
          <w:tcPr>
            <w:tcW w:w="35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东南大学、江苏春迈建筑科技有限公司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" w:hRule="atLeast"/>
          <w:jc w:val="center"/>
        </w:trPr>
        <w:tc>
          <w:tcPr>
            <w:tcW w:w="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11</w:t>
            </w:r>
          </w:p>
        </w:tc>
        <w:tc>
          <w:tcPr>
            <w:tcW w:w="2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DGJ32/TJ175-2014</w:t>
            </w:r>
          </w:p>
        </w:tc>
        <w:tc>
          <w:tcPr>
            <w:tcW w:w="31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江苏省城市总体规划成果数据标准</w:t>
            </w:r>
          </w:p>
        </w:tc>
        <w:tc>
          <w:tcPr>
            <w:tcW w:w="35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江苏省住房和城乡建设厅原城乡规划处、江苏省城市规划设计研究院、江苏省建设信息中心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" w:hRule="atLeast"/>
          <w:jc w:val="center"/>
        </w:trPr>
        <w:tc>
          <w:tcPr>
            <w:tcW w:w="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12</w:t>
            </w:r>
          </w:p>
        </w:tc>
        <w:tc>
          <w:tcPr>
            <w:tcW w:w="2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DGJ32/J180-2014</w:t>
            </w:r>
          </w:p>
        </w:tc>
        <w:tc>
          <w:tcPr>
            <w:tcW w:w="31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生活垃圾卫生填埋场岩土工程勘察规程</w:t>
            </w:r>
          </w:p>
        </w:tc>
        <w:tc>
          <w:tcPr>
            <w:tcW w:w="35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江苏苏州地质工程勘察院、江苏省水文地质工程地质勘察院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6" w:hRule="atLeast"/>
          <w:jc w:val="center"/>
        </w:trPr>
        <w:tc>
          <w:tcPr>
            <w:tcW w:w="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13</w:t>
            </w:r>
          </w:p>
        </w:tc>
        <w:tc>
          <w:tcPr>
            <w:tcW w:w="2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DGJ32/TJ203-2016</w:t>
            </w:r>
          </w:p>
        </w:tc>
        <w:tc>
          <w:tcPr>
            <w:tcW w:w="31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建筑工地扬尘防治标准</w:t>
            </w:r>
          </w:p>
        </w:tc>
        <w:tc>
          <w:tcPr>
            <w:tcW w:w="35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江苏省建筑安全与设备管理协会、扬州市建筑安全监察站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" w:hRule="atLeast"/>
          <w:jc w:val="center"/>
        </w:trPr>
        <w:tc>
          <w:tcPr>
            <w:tcW w:w="56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14</w:t>
            </w:r>
          </w:p>
        </w:tc>
        <w:tc>
          <w:tcPr>
            <w:tcW w:w="26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苏 Z02-2014</w:t>
            </w:r>
          </w:p>
        </w:tc>
        <w:tc>
          <w:tcPr>
            <w:tcW w:w="311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城市照明图集</w:t>
            </w:r>
          </w:p>
        </w:tc>
        <w:tc>
          <w:tcPr>
            <w:tcW w:w="355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常州市城市照明工程有限公司、江苏省住房和城乡建设厅原城市建设与管理处</w:t>
            </w:r>
          </w:p>
        </w:tc>
      </w:tr>
    </w:tbl>
    <w:p>
      <w:pPr>
        <w:widowControl/>
        <w:spacing w:line="375" w:lineRule="atLeast"/>
        <w:jc w:val="center"/>
        <w:rPr>
          <w:rFonts w:hint="eastAsia" w:ascii="ˎ̥" w:hAnsi="ˎ̥" w:eastAsia="宋体" w:cs="宋体"/>
          <w:kern w:val="0"/>
          <w:sz w:val="18"/>
          <w:szCs w:val="18"/>
        </w:rPr>
      </w:pPr>
      <w:r>
        <w:rPr>
          <w:rFonts w:ascii="ˎ̥" w:hAnsi="ˎ̥" w:eastAsia="宋体" w:cs="宋体"/>
          <w:kern w:val="0"/>
          <w:sz w:val="18"/>
          <w:szCs w:val="18"/>
        </w:rPr>
        <w:t> </w:t>
      </w:r>
    </w:p>
    <w:p>
      <w:pPr>
        <w:widowControl/>
        <w:spacing w:line="540" w:lineRule="exact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仿宋_GB2312" w:hAnsi="Calibri" w:eastAsia="仿宋_GB2312" w:cs="宋体"/>
          <w:b/>
          <w:kern w:val="0"/>
          <w:sz w:val="44"/>
          <w:szCs w:val="44"/>
        </w:rPr>
        <w:t> </w:t>
      </w:r>
    </w:p>
    <w:p>
      <w:pPr>
        <w:widowControl/>
        <w:tabs>
          <w:tab w:val="left" w:pos="720"/>
        </w:tabs>
        <w:spacing w:line="540" w:lineRule="exact"/>
        <w:ind w:left="720" w:hanging="720"/>
        <w:jc w:val="center"/>
        <w:rPr>
          <w:rFonts w:hint="eastAsia" w:ascii="ˎ̥" w:hAnsi="ˎ̥" w:eastAsia="宋体" w:cs="宋体"/>
          <w:kern w:val="0"/>
          <w:sz w:val="18"/>
          <w:szCs w:val="18"/>
        </w:rPr>
      </w:pPr>
      <w:r>
        <w:rPr>
          <w:rFonts w:hint="eastAsia" w:ascii="方正黑体_GBK" w:hAnsi="Times New Roman" w:eastAsia="方正黑体_GBK" w:cs="方正黑体_GBK"/>
          <w:bCs/>
          <w:kern w:val="0"/>
          <w:sz w:val="32"/>
          <w:szCs w:val="32"/>
        </w:rPr>
        <w:t>二、</w:t>
      </w:r>
      <w:r>
        <w:rPr>
          <w:rFonts w:ascii="Times New Roman" w:hAnsi="Times New Roman" w:eastAsia="方正黑体_GBK" w:cs="Times New Roman"/>
          <w:bCs/>
          <w:kern w:val="0"/>
          <w:sz w:val="14"/>
          <w:szCs w:val="14"/>
        </w:rPr>
        <w:t xml:space="preserve">  </w:t>
      </w:r>
      <w:r>
        <w:rPr>
          <w:rFonts w:hint="eastAsia" w:ascii="方正黑体_GBK" w:hAnsi="Times New Roman" w:eastAsia="方正黑体_GBK" w:cs="Times New Roman"/>
          <w:bCs/>
          <w:kern w:val="0"/>
          <w:sz w:val="32"/>
          <w:szCs w:val="32"/>
        </w:rPr>
        <w:t>废止</w:t>
      </w:r>
    </w:p>
    <w:tbl>
      <w:tblPr>
        <w:tblStyle w:val="2"/>
        <w:tblW w:w="9703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4"/>
        <w:gridCol w:w="2609"/>
        <w:gridCol w:w="3118"/>
        <w:gridCol w:w="319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  <w:tblHeader/>
          <w:jc w:val="center"/>
        </w:trPr>
        <w:tc>
          <w:tcPr>
            <w:tcW w:w="78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ˎ̥" w:hAnsi="ˎ̥" w:eastAsia="方正仿宋_GBK" w:cs="宋体"/>
                <w:kern w:val="0"/>
                <w:sz w:val="28"/>
                <w:szCs w:val="28"/>
              </w:rPr>
              <w:t> </w:t>
            </w:r>
            <w:r>
              <w:rPr>
                <w:rFonts w:hint="eastAsia" w:ascii="方正仿宋_GBK" w:hAnsi="宋体" w:eastAsia="方正仿宋_GBK" w:cs="宋体"/>
                <w:b/>
                <w:kern w:val="0"/>
                <w:sz w:val="28"/>
                <w:szCs w:val="28"/>
              </w:rPr>
              <w:t>序号</w:t>
            </w:r>
          </w:p>
        </w:tc>
        <w:tc>
          <w:tcPr>
            <w:tcW w:w="26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kern w:val="0"/>
                <w:sz w:val="28"/>
                <w:szCs w:val="28"/>
              </w:rPr>
              <w:t>编号</w:t>
            </w:r>
          </w:p>
        </w:tc>
        <w:tc>
          <w:tcPr>
            <w:tcW w:w="311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kern w:val="0"/>
                <w:sz w:val="28"/>
                <w:szCs w:val="28"/>
              </w:rPr>
              <w:t>名称</w:t>
            </w:r>
          </w:p>
        </w:tc>
        <w:tc>
          <w:tcPr>
            <w:tcW w:w="31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kern w:val="0"/>
                <w:sz w:val="28"/>
                <w:szCs w:val="28"/>
              </w:rPr>
              <w:t>原主编单位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  <w:jc w:val="center"/>
        </w:trPr>
        <w:tc>
          <w:tcPr>
            <w:tcW w:w="78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26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苏G19-2012</w:t>
            </w:r>
          </w:p>
        </w:tc>
        <w:tc>
          <w:tcPr>
            <w:tcW w:w="311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机械连接预应力混凝土竹节桩</w:t>
            </w:r>
          </w:p>
        </w:tc>
        <w:tc>
          <w:tcPr>
            <w:tcW w:w="31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南京市建筑设计研究院有限责任公司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  <w:jc w:val="center"/>
        </w:trPr>
        <w:tc>
          <w:tcPr>
            <w:tcW w:w="78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26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苏G/T27-2015</w:t>
            </w:r>
          </w:p>
        </w:tc>
        <w:tc>
          <w:tcPr>
            <w:tcW w:w="311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预应力混凝土内扣式内螺纹抗拔管桩</w:t>
            </w:r>
          </w:p>
        </w:tc>
        <w:tc>
          <w:tcPr>
            <w:tcW w:w="31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南京中艺建筑设计院股份有限公司、金陵科技学院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  <w:jc w:val="center"/>
        </w:trPr>
        <w:tc>
          <w:tcPr>
            <w:tcW w:w="78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26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苏G/T28-2017</w:t>
            </w:r>
          </w:p>
        </w:tc>
        <w:tc>
          <w:tcPr>
            <w:tcW w:w="311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预应力混凝土抗拔空心方桩（钢板、螺栓机械式连接）</w:t>
            </w:r>
          </w:p>
        </w:tc>
        <w:tc>
          <w:tcPr>
            <w:tcW w:w="319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江苏省建筑设计研究院有限公司</w:t>
            </w:r>
          </w:p>
        </w:tc>
      </w:tr>
    </w:tbl>
    <w:p>
      <w:pPr>
        <w:widowControl/>
        <w:tabs>
          <w:tab w:val="left" w:pos="720"/>
        </w:tabs>
        <w:spacing w:line="540" w:lineRule="exact"/>
        <w:ind w:left="720" w:hanging="720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ascii="宋体" w:hAnsi="宋体" w:eastAsia="宋体" w:cs="宋体"/>
          <w:kern w:val="0"/>
          <w:sz w:val="24"/>
          <w:szCs w:val="24"/>
        </w:rPr>
        <w:t> </w:t>
      </w:r>
    </w:p>
    <w:p>
      <w:pPr>
        <w:widowControl/>
        <w:tabs>
          <w:tab w:val="left" w:pos="720"/>
        </w:tabs>
        <w:spacing w:line="540" w:lineRule="exact"/>
        <w:ind w:left="720" w:hanging="720"/>
        <w:jc w:val="center"/>
        <w:rPr>
          <w:rFonts w:ascii="宋体" w:hAnsi="宋体" w:eastAsia="宋体" w:cs="宋体"/>
          <w:kern w:val="0"/>
          <w:sz w:val="24"/>
          <w:szCs w:val="24"/>
        </w:rPr>
      </w:pPr>
    </w:p>
    <w:p>
      <w:pPr>
        <w:widowControl/>
        <w:tabs>
          <w:tab w:val="left" w:pos="720"/>
        </w:tabs>
        <w:spacing w:line="540" w:lineRule="exact"/>
        <w:ind w:left="720" w:hanging="720"/>
        <w:jc w:val="center"/>
        <w:rPr>
          <w:rFonts w:ascii="宋体" w:hAnsi="宋体" w:eastAsia="宋体" w:cs="宋体"/>
          <w:kern w:val="0"/>
          <w:sz w:val="24"/>
          <w:szCs w:val="24"/>
        </w:rPr>
      </w:pPr>
    </w:p>
    <w:p>
      <w:pPr>
        <w:widowControl/>
        <w:tabs>
          <w:tab w:val="left" w:pos="720"/>
        </w:tabs>
        <w:spacing w:line="540" w:lineRule="exact"/>
        <w:ind w:left="720" w:hanging="720"/>
        <w:jc w:val="center"/>
        <w:rPr>
          <w:rFonts w:ascii="宋体" w:hAnsi="宋体" w:eastAsia="宋体" w:cs="宋体"/>
          <w:kern w:val="0"/>
          <w:sz w:val="24"/>
          <w:szCs w:val="24"/>
        </w:rPr>
      </w:pPr>
    </w:p>
    <w:p>
      <w:pPr>
        <w:widowControl/>
        <w:tabs>
          <w:tab w:val="left" w:pos="720"/>
        </w:tabs>
        <w:spacing w:line="540" w:lineRule="exact"/>
        <w:ind w:left="720" w:hanging="720"/>
        <w:jc w:val="center"/>
        <w:rPr>
          <w:rFonts w:ascii="宋体" w:hAnsi="宋体" w:eastAsia="宋体" w:cs="宋体"/>
          <w:kern w:val="0"/>
          <w:sz w:val="24"/>
          <w:szCs w:val="24"/>
        </w:rPr>
      </w:pPr>
    </w:p>
    <w:p>
      <w:pPr>
        <w:widowControl/>
        <w:tabs>
          <w:tab w:val="left" w:pos="720"/>
        </w:tabs>
        <w:spacing w:line="540" w:lineRule="exact"/>
        <w:ind w:left="720" w:hanging="720"/>
        <w:jc w:val="center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方正黑体_GBK" w:hAnsi="Calibri" w:eastAsia="方正黑体_GBK" w:cs="方正黑体_GBK"/>
          <w:bCs/>
          <w:kern w:val="0"/>
          <w:sz w:val="32"/>
          <w:szCs w:val="32"/>
        </w:rPr>
        <w:t>三、</w:t>
      </w:r>
      <w:r>
        <w:rPr>
          <w:rFonts w:ascii="Times New Roman" w:hAnsi="Times New Roman" w:eastAsia="方正黑体_GBK" w:cs="Times New Roman"/>
          <w:bCs/>
          <w:kern w:val="0"/>
          <w:sz w:val="14"/>
          <w:szCs w:val="14"/>
        </w:rPr>
        <w:t xml:space="preserve">  </w:t>
      </w:r>
      <w:r>
        <w:rPr>
          <w:rFonts w:hint="eastAsia" w:ascii="方正黑体_GBK" w:hAnsi="Times New Roman" w:eastAsia="方正黑体_GBK" w:cs="Times New Roman"/>
          <w:bCs/>
          <w:kern w:val="0"/>
          <w:sz w:val="32"/>
          <w:szCs w:val="32"/>
        </w:rPr>
        <w:t>修订</w:t>
      </w:r>
    </w:p>
    <w:tbl>
      <w:tblPr>
        <w:tblStyle w:val="2"/>
        <w:tblW w:w="9770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7"/>
        <w:gridCol w:w="2505"/>
        <w:gridCol w:w="3402"/>
        <w:gridCol w:w="322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" w:hRule="atLeast"/>
          <w:tblHeader/>
          <w:jc w:val="center"/>
        </w:trPr>
        <w:tc>
          <w:tcPr>
            <w:tcW w:w="63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kern w:val="0"/>
                <w:sz w:val="28"/>
                <w:szCs w:val="28"/>
              </w:rPr>
              <w:t>序号</w:t>
            </w:r>
          </w:p>
        </w:tc>
        <w:tc>
          <w:tcPr>
            <w:tcW w:w="25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kern w:val="0"/>
                <w:sz w:val="28"/>
                <w:szCs w:val="28"/>
              </w:rPr>
              <w:t>编号</w:t>
            </w:r>
          </w:p>
        </w:tc>
        <w:tc>
          <w:tcPr>
            <w:tcW w:w="34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kern w:val="0"/>
                <w:sz w:val="28"/>
                <w:szCs w:val="28"/>
              </w:rPr>
              <w:t>名称</w:t>
            </w:r>
          </w:p>
        </w:tc>
        <w:tc>
          <w:tcPr>
            <w:tcW w:w="32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kern w:val="0"/>
                <w:sz w:val="28"/>
                <w:szCs w:val="28"/>
              </w:rPr>
              <w:t>原主编单位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" w:hRule="atLeast"/>
          <w:jc w:val="center"/>
        </w:trPr>
        <w:tc>
          <w:tcPr>
            <w:tcW w:w="63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25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DGJ32/J121-2011</w:t>
            </w:r>
          </w:p>
        </w:tc>
        <w:tc>
          <w:tcPr>
            <w:tcW w:w="34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建筑施工悬挑式钢管脚手架安全技术规程</w:t>
            </w:r>
          </w:p>
        </w:tc>
        <w:tc>
          <w:tcPr>
            <w:tcW w:w="32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 xml:space="preserve">江苏金土木建设集团有限公司、常熟市建筑管理处 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" w:hRule="atLeast"/>
          <w:jc w:val="center"/>
        </w:trPr>
        <w:tc>
          <w:tcPr>
            <w:tcW w:w="63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25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DGJ32/TJ143-2012</w:t>
            </w:r>
          </w:p>
        </w:tc>
        <w:tc>
          <w:tcPr>
            <w:tcW w:w="34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房屋建筑和市政基础设施工程档案资料管理规范</w:t>
            </w:r>
          </w:p>
        </w:tc>
        <w:tc>
          <w:tcPr>
            <w:tcW w:w="32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江苏省建设工程质量监督总站、江苏省住房和城乡建设厅建设档案办公室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" w:hRule="atLeast"/>
          <w:jc w:val="center"/>
        </w:trPr>
        <w:tc>
          <w:tcPr>
            <w:tcW w:w="63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25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DGJ32/J150-2013</w:t>
            </w:r>
          </w:p>
        </w:tc>
        <w:tc>
          <w:tcPr>
            <w:tcW w:w="34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建筑施工中心提升式附着升降脚手架安全技术规程</w:t>
            </w:r>
          </w:p>
        </w:tc>
        <w:tc>
          <w:tcPr>
            <w:tcW w:w="32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江苏省建筑安全与设备管理协会、江苏天任建设装备有限公司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" w:hRule="atLeast"/>
          <w:jc w:val="center"/>
        </w:trPr>
        <w:tc>
          <w:tcPr>
            <w:tcW w:w="63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4</w:t>
            </w:r>
          </w:p>
        </w:tc>
        <w:tc>
          <w:tcPr>
            <w:tcW w:w="25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DGJ32/J161-2014</w:t>
            </w:r>
          </w:p>
        </w:tc>
        <w:tc>
          <w:tcPr>
            <w:tcW w:w="34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居民住宅二次供水工程技术规程</w:t>
            </w:r>
          </w:p>
        </w:tc>
        <w:tc>
          <w:tcPr>
            <w:tcW w:w="32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江苏省住房和城乡建设厅原城市建设与管理处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" w:hRule="atLeast"/>
          <w:jc w:val="center"/>
        </w:trPr>
        <w:tc>
          <w:tcPr>
            <w:tcW w:w="63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5</w:t>
            </w:r>
          </w:p>
        </w:tc>
        <w:tc>
          <w:tcPr>
            <w:tcW w:w="25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DGJ32/TJ162-2014</w:t>
            </w:r>
          </w:p>
        </w:tc>
        <w:tc>
          <w:tcPr>
            <w:tcW w:w="34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玻璃纤维增强复合材料筋基坑工程应用技术规程</w:t>
            </w:r>
          </w:p>
        </w:tc>
        <w:tc>
          <w:tcPr>
            <w:tcW w:w="32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江苏华东工程设计有限公司、南京锋晖复合材料有限公司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" w:hRule="atLeast"/>
          <w:jc w:val="center"/>
        </w:trPr>
        <w:tc>
          <w:tcPr>
            <w:tcW w:w="63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6</w:t>
            </w:r>
          </w:p>
        </w:tc>
        <w:tc>
          <w:tcPr>
            <w:tcW w:w="25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DGJ32/J166-2014</w:t>
            </w:r>
          </w:p>
        </w:tc>
        <w:tc>
          <w:tcPr>
            <w:tcW w:w="34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建筑施工机械设备维护保养技术规程</w:t>
            </w:r>
          </w:p>
        </w:tc>
        <w:tc>
          <w:tcPr>
            <w:tcW w:w="32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江苏省建筑安全与设备管理协会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" w:hRule="atLeast"/>
          <w:jc w:val="center"/>
        </w:trPr>
        <w:tc>
          <w:tcPr>
            <w:tcW w:w="63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7</w:t>
            </w:r>
          </w:p>
        </w:tc>
        <w:tc>
          <w:tcPr>
            <w:tcW w:w="25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DGJ32/TJ169-2014</w:t>
            </w:r>
          </w:p>
        </w:tc>
        <w:tc>
          <w:tcPr>
            <w:tcW w:w="34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江苏省城市居住区和单位绿化标准</w:t>
            </w:r>
          </w:p>
        </w:tc>
        <w:tc>
          <w:tcPr>
            <w:tcW w:w="32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江苏省住房和城乡建设厅原风景园林处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" w:hRule="atLeast"/>
          <w:jc w:val="center"/>
        </w:trPr>
        <w:tc>
          <w:tcPr>
            <w:tcW w:w="63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8</w:t>
            </w:r>
          </w:p>
        </w:tc>
        <w:tc>
          <w:tcPr>
            <w:tcW w:w="25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DGJ32/J173-2014</w:t>
            </w:r>
          </w:p>
        </w:tc>
        <w:tc>
          <w:tcPr>
            <w:tcW w:w="34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江苏省绿色建筑设计标准</w:t>
            </w:r>
          </w:p>
        </w:tc>
        <w:tc>
          <w:tcPr>
            <w:tcW w:w="32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江苏省住房和城乡建设厅科技发展中心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" w:hRule="atLeast"/>
          <w:jc w:val="center"/>
        </w:trPr>
        <w:tc>
          <w:tcPr>
            <w:tcW w:w="63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9</w:t>
            </w:r>
          </w:p>
        </w:tc>
        <w:tc>
          <w:tcPr>
            <w:tcW w:w="25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DGJ32/TJ176-2014</w:t>
            </w:r>
          </w:p>
        </w:tc>
        <w:tc>
          <w:tcPr>
            <w:tcW w:w="34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勘察设计企业质量管理规范</w:t>
            </w:r>
          </w:p>
        </w:tc>
        <w:tc>
          <w:tcPr>
            <w:tcW w:w="32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江苏省勘察设计协会、江苏省住房和城乡建设厅原建筑节能与科研设计处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" w:hRule="atLeast"/>
          <w:jc w:val="center"/>
        </w:trPr>
        <w:tc>
          <w:tcPr>
            <w:tcW w:w="637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10</w:t>
            </w:r>
          </w:p>
        </w:tc>
        <w:tc>
          <w:tcPr>
            <w:tcW w:w="2505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DGJ32/TJ177-2014</w:t>
            </w:r>
          </w:p>
        </w:tc>
        <w:tc>
          <w:tcPr>
            <w:tcW w:w="3402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智能建筑工程质量检测规范</w:t>
            </w:r>
          </w:p>
        </w:tc>
        <w:tc>
          <w:tcPr>
            <w:tcW w:w="3226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南京工业大学、江苏省计量科学研究院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" w:hRule="atLeast"/>
          <w:jc w:val="center"/>
        </w:trPr>
        <w:tc>
          <w:tcPr>
            <w:tcW w:w="637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11</w:t>
            </w:r>
          </w:p>
        </w:tc>
        <w:tc>
          <w:tcPr>
            <w:tcW w:w="2505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DGJ32/TJ178-2014</w:t>
            </w:r>
          </w:p>
        </w:tc>
        <w:tc>
          <w:tcPr>
            <w:tcW w:w="3402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智能建筑工程施工质量验收规范</w:t>
            </w:r>
          </w:p>
        </w:tc>
        <w:tc>
          <w:tcPr>
            <w:tcW w:w="3226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南京工业大学、南京熊猫信息产业有限公司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" w:hRule="atLeast"/>
          <w:jc w:val="center"/>
        </w:trPr>
        <w:tc>
          <w:tcPr>
            <w:tcW w:w="637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12</w:t>
            </w:r>
          </w:p>
        </w:tc>
        <w:tc>
          <w:tcPr>
            <w:tcW w:w="2505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DGJ32/J179-2014</w:t>
            </w:r>
          </w:p>
        </w:tc>
        <w:tc>
          <w:tcPr>
            <w:tcW w:w="3402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通信用户驻地网室内无线信号覆盖系统技术标准</w:t>
            </w:r>
          </w:p>
        </w:tc>
        <w:tc>
          <w:tcPr>
            <w:tcW w:w="3226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江苏省通信管理局、江苏省邮电规划设计院有限责任公司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" w:hRule="atLeast"/>
          <w:jc w:val="center"/>
        </w:trPr>
        <w:tc>
          <w:tcPr>
            <w:tcW w:w="637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13</w:t>
            </w:r>
          </w:p>
        </w:tc>
        <w:tc>
          <w:tcPr>
            <w:tcW w:w="2505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  <w:t>DGJ32/J</w:t>
            </w: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</w:t>
            </w:r>
            <w:r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  <w:t>9-201</w:t>
            </w: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5</w:t>
            </w:r>
          </w:p>
        </w:tc>
        <w:tc>
          <w:tcPr>
            <w:tcW w:w="3402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绿色建筑工程施工质量验收规范</w:t>
            </w:r>
          </w:p>
        </w:tc>
        <w:tc>
          <w:tcPr>
            <w:tcW w:w="3226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江苏省住房和城乡建设厅科技发展中心、江苏省建设工程质量监督总站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" w:hRule="atLeast"/>
          <w:jc w:val="center"/>
        </w:trPr>
        <w:tc>
          <w:tcPr>
            <w:tcW w:w="637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14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DGJ32/J184-2016</w:t>
            </w:r>
          </w:p>
        </w:tc>
        <w:tc>
          <w:tcPr>
            <w:tcW w:w="3402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装配式结构工程施工质量验收规程</w:t>
            </w:r>
          </w:p>
        </w:tc>
        <w:tc>
          <w:tcPr>
            <w:tcW w:w="3226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江苏省建设工程质量监督总站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" w:hRule="atLeast"/>
          <w:jc w:val="center"/>
        </w:trPr>
        <w:tc>
          <w:tcPr>
            <w:tcW w:w="63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tabs>
                <w:tab w:val="left" w:pos="7245"/>
              </w:tabs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15</w:t>
            </w:r>
          </w:p>
        </w:tc>
        <w:tc>
          <w:tcPr>
            <w:tcW w:w="25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DGJ32/TJ212-2016</w:t>
            </w:r>
          </w:p>
        </w:tc>
        <w:tc>
          <w:tcPr>
            <w:tcW w:w="34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江苏省建筑防水工程技术规程</w:t>
            </w:r>
          </w:p>
        </w:tc>
        <w:tc>
          <w:tcPr>
            <w:tcW w:w="32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>
            <w:pPr>
              <w:spacing w:line="400" w:lineRule="exact"/>
              <w:rPr>
                <w:rFonts w:ascii="方正仿宋_GBK" w:hAnsi="宋体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28"/>
                <w:szCs w:val="28"/>
              </w:rPr>
              <w:t>苏州中材非金属矿工业设计研究院有限公司、苏州市建筑科学研究院集团股份有限公司</w:t>
            </w:r>
          </w:p>
        </w:tc>
      </w:tr>
    </w:tbl>
    <w:p>
      <w:pPr>
        <w:widowControl/>
        <w:spacing w:line="375" w:lineRule="atLeast"/>
        <w:jc w:val="center"/>
        <w:rPr>
          <w:rFonts w:hint="eastAsia" w:ascii="ˎ̥" w:hAnsi="ˎ̥" w:eastAsia="宋体" w:cs="宋体"/>
          <w:kern w:val="0"/>
          <w:sz w:val="18"/>
          <w:szCs w:val="18"/>
        </w:rPr>
      </w:pPr>
    </w:p>
    <w:p>
      <w:pPr>
        <w:widowControl/>
        <w:tabs>
          <w:tab w:val="left" w:pos="720"/>
        </w:tabs>
        <w:spacing w:line="540" w:lineRule="exact"/>
        <w:rPr>
          <w:rFonts w:ascii="方正黑体_GBK" w:hAnsi="Calibri" w:eastAsia="方正黑体_GBK" w:cs="方正黑体_GBK"/>
          <w:bCs/>
          <w:kern w:val="0"/>
          <w:sz w:val="32"/>
          <w:szCs w:val="32"/>
        </w:rPr>
      </w:pPr>
    </w:p>
    <w:p>
      <w:pPr>
        <w:widowControl/>
        <w:spacing w:line="540" w:lineRule="exact"/>
        <w:jc w:val="center"/>
        <w:rPr>
          <w:rFonts w:ascii="仿宋_GB2312" w:hAnsi="宋体" w:eastAsia="仿宋_GB2312" w:cs="宋体"/>
          <w:b/>
          <w:kern w:val="0"/>
          <w:sz w:val="44"/>
          <w:szCs w:val="44"/>
        </w:rPr>
      </w:pPr>
    </w:p>
    <w:p>
      <w:pPr>
        <w:widowControl/>
        <w:spacing w:line="540" w:lineRule="exact"/>
        <w:jc w:val="center"/>
        <w:rPr>
          <w:rFonts w:ascii="仿宋_GB2312" w:hAnsi="宋体" w:eastAsia="仿宋_GB2312" w:cs="宋体"/>
          <w:b/>
          <w:kern w:val="0"/>
          <w:sz w:val="44"/>
          <w:szCs w:val="44"/>
        </w:rPr>
      </w:pPr>
    </w:p>
    <w:p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6FA0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2019-11-13T08:58:53Z</dcterms:created>
  <dc:creator>0</dc:creator>
  <cp:lastModifiedBy>Bazinga 。</cp:lastModifiedBy>
  <dcterms:modified xsi:type="dcterms:W3CDTF">2019-11-13T08:59:03Z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