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spacing w:line="590" w:lineRule="exact"/>
        <w:rPr>
          <w:rFonts w:ascii="Times New Roman" w:hAnsi="Times New Roman"/>
          <w:szCs w:val="44"/>
        </w:rPr>
      </w:pPr>
      <w:r>
        <w:rPr>
          <w:rFonts w:ascii="Times New Roman" w:hAnsi="Times New Roman"/>
          <w:szCs w:val="44"/>
        </w:rPr>
        <w:t>江苏省建设科技创新成果推荐书</w:t>
      </w:r>
    </w:p>
    <w:p>
      <w:pPr>
        <w:jc w:val="center"/>
        <w:rPr>
          <w:rFonts w:ascii="Times New Roman" w:hAnsi="Times New Roman" w:eastAsia="方正黑体_GBK"/>
          <w:sz w:val="30"/>
          <w:szCs w:val="30"/>
        </w:rPr>
      </w:pPr>
    </w:p>
    <w:p>
      <w:pPr>
        <w:jc w:val="center"/>
        <w:rPr>
          <w:rFonts w:ascii="Times New Roman" w:hAnsi="Times New Roman" w:eastAsia="方正黑体_GBK"/>
          <w:sz w:val="30"/>
          <w:szCs w:val="30"/>
        </w:rPr>
      </w:pPr>
    </w:p>
    <w:p>
      <w:pPr>
        <w:jc w:val="center"/>
        <w:rPr>
          <w:rFonts w:ascii="Times New Roman" w:hAnsi="Times New Roman" w:eastAsia="方正黑体_GBK"/>
          <w:sz w:val="30"/>
          <w:szCs w:val="30"/>
        </w:rPr>
      </w:pPr>
      <w:r>
        <w:rPr>
          <w:rFonts w:ascii="Times New Roman" w:hAnsi="Times New Roman" w:eastAsia="方正黑体_GBK"/>
          <w:sz w:val="30"/>
          <w:szCs w:val="30"/>
        </w:rPr>
        <w:t>一、基本情况</w:t>
      </w:r>
    </w:p>
    <w:p>
      <w:pPr>
        <w:spacing w:line="320" w:lineRule="exact"/>
        <w:rPr>
          <w:rFonts w:ascii="Times New Roman" w:hAnsi="Times New Roman"/>
          <w:szCs w:val="21"/>
        </w:rPr>
      </w:pPr>
      <w:r>
        <w:rPr>
          <w:rFonts w:ascii="Times New Roman" w:hAnsi="Times New Roman"/>
          <w:szCs w:val="21"/>
        </w:rPr>
        <w:t xml:space="preserve">                                                       </w:t>
      </w:r>
    </w:p>
    <w:tbl>
      <w:tblPr>
        <w:tblStyle w:val="4"/>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970"/>
        <w:gridCol w:w="2958"/>
        <w:gridCol w:w="2320"/>
        <w:gridCol w:w="181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1970" w:type="dxa"/>
            <w:tcBorders>
              <w:top w:val="single" w:color="auto" w:sz="8" w:space="0"/>
            </w:tcBorders>
            <w:vAlign w:val="center"/>
          </w:tcPr>
          <w:p>
            <w:pPr>
              <w:autoSpaceDE w:val="0"/>
              <w:autoSpaceDN w:val="0"/>
              <w:adjustRightInd w:val="0"/>
              <w:snapToGrid w:val="0"/>
              <w:jc w:val="center"/>
              <w:rPr>
                <w:rFonts w:ascii="Times New Roman" w:hAnsi="Times New Roman"/>
                <w:szCs w:val="21"/>
              </w:rPr>
            </w:pPr>
            <w:r>
              <w:rPr>
                <w:rFonts w:ascii="Times New Roman" w:hAnsi="Times New Roman"/>
                <w:szCs w:val="21"/>
              </w:rPr>
              <w:t>项目名称</w:t>
            </w:r>
          </w:p>
        </w:tc>
        <w:tc>
          <w:tcPr>
            <w:tcW w:w="7090" w:type="dxa"/>
            <w:gridSpan w:val="3"/>
            <w:tcBorders>
              <w:top w:val="single" w:color="auto" w:sz="8" w:space="0"/>
            </w:tcBorders>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新冠疫情防控应急设施设计与建设关键技术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38" w:hRule="atLeast"/>
          <w:jc w:val="center"/>
        </w:trPr>
        <w:tc>
          <w:tcPr>
            <w:tcW w:w="1970" w:type="dxa"/>
            <w:vAlign w:val="center"/>
          </w:tcPr>
          <w:p>
            <w:pPr>
              <w:autoSpaceDE w:val="0"/>
              <w:autoSpaceDN w:val="0"/>
              <w:adjustRightInd w:val="0"/>
              <w:snapToGrid w:val="0"/>
              <w:jc w:val="center"/>
              <w:rPr>
                <w:rFonts w:ascii="Times New Roman" w:hAnsi="Times New Roman"/>
                <w:szCs w:val="21"/>
              </w:rPr>
            </w:pPr>
            <w:r>
              <w:rPr>
                <w:rFonts w:ascii="Times New Roman" w:hAnsi="Times New Roman"/>
                <w:szCs w:val="21"/>
              </w:rPr>
              <w:t>完 成 人</w:t>
            </w:r>
          </w:p>
        </w:tc>
        <w:tc>
          <w:tcPr>
            <w:tcW w:w="7090" w:type="dxa"/>
            <w:gridSpan w:val="3"/>
            <w:vAlign w:val="center"/>
          </w:tcPr>
          <w:p>
            <w:pPr>
              <w:autoSpaceDE w:val="0"/>
              <w:autoSpaceDN w:val="0"/>
              <w:adjustRightInd w:val="0"/>
              <w:snapToGrid w:val="0"/>
              <w:spacing w:line="360" w:lineRule="auto"/>
              <w:rPr>
                <w:rFonts w:ascii="Times New Roman" w:hAnsi="Times New Roman"/>
                <w:szCs w:val="21"/>
              </w:rPr>
            </w:pPr>
            <w:r>
              <w:rPr>
                <w:rFonts w:ascii="Times New Roman" w:hAnsi="Times New Roman"/>
                <w:szCs w:val="21"/>
              </w:rPr>
              <w:t>（严格按照排名顺序填写）</w:t>
            </w:r>
          </w:p>
          <w:p>
            <w:pPr>
              <w:autoSpaceDE w:val="0"/>
              <w:autoSpaceDN w:val="0"/>
              <w:adjustRightInd w:val="0"/>
              <w:snapToGrid w:val="0"/>
              <w:spacing w:line="360" w:lineRule="auto"/>
              <w:jc w:val="center"/>
              <w:rPr>
                <w:rFonts w:ascii="Times New Roman" w:hAnsi="Times New Roman"/>
                <w:szCs w:val="21"/>
              </w:rPr>
            </w:pPr>
            <w:r>
              <w:rPr>
                <w:rFonts w:hint="eastAsia" w:ascii="Times New Roman" w:hAnsi="Times New Roman"/>
                <w:szCs w:val="21"/>
              </w:rPr>
              <w:t>杨九祥、陶刚、施金杰、杨建建、杨良生、吴建华、张学亮、李金平、曹顺、孙波、程家磊、孙东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6" w:hRule="atLeast"/>
          <w:jc w:val="center"/>
        </w:trPr>
        <w:tc>
          <w:tcPr>
            <w:tcW w:w="1970" w:type="dxa"/>
            <w:vAlign w:val="center"/>
          </w:tcPr>
          <w:p>
            <w:pPr>
              <w:autoSpaceDE w:val="0"/>
              <w:autoSpaceDN w:val="0"/>
              <w:adjustRightInd w:val="0"/>
              <w:snapToGrid w:val="0"/>
              <w:jc w:val="center"/>
              <w:rPr>
                <w:rFonts w:ascii="Times New Roman" w:hAnsi="Times New Roman"/>
                <w:szCs w:val="21"/>
              </w:rPr>
            </w:pPr>
            <w:r>
              <w:rPr>
                <w:rFonts w:ascii="Times New Roman" w:hAnsi="Times New Roman"/>
                <w:szCs w:val="21"/>
              </w:rPr>
              <w:t>完成单位</w:t>
            </w:r>
          </w:p>
        </w:tc>
        <w:tc>
          <w:tcPr>
            <w:tcW w:w="7090" w:type="dxa"/>
            <w:gridSpan w:val="3"/>
            <w:vAlign w:val="center"/>
          </w:tcPr>
          <w:p>
            <w:pPr>
              <w:autoSpaceDE w:val="0"/>
              <w:autoSpaceDN w:val="0"/>
              <w:adjustRightInd w:val="0"/>
              <w:snapToGrid w:val="0"/>
              <w:spacing w:line="360" w:lineRule="auto"/>
              <w:jc w:val="center"/>
              <w:rPr>
                <w:rFonts w:ascii="Times New Roman" w:hAnsi="Times New Roman"/>
                <w:szCs w:val="21"/>
              </w:rPr>
            </w:pPr>
          </w:p>
          <w:p>
            <w:pPr>
              <w:autoSpaceDE w:val="0"/>
              <w:autoSpaceDN w:val="0"/>
              <w:adjustRightInd w:val="0"/>
              <w:snapToGrid w:val="0"/>
              <w:spacing w:line="360" w:lineRule="auto"/>
              <w:jc w:val="center"/>
              <w:rPr>
                <w:rFonts w:ascii="Times New Roman" w:hAnsi="Times New Roman"/>
                <w:szCs w:val="21"/>
              </w:rPr>
            </w:pPr>
            <w:r>
              <w:rPr>
                <w:rFonts w:hint="eastAsia" w:ascii="Times New Roman" w:hAnsi="Times New Roman"/>
                <w:szCs w:val="21"/>
              </w:rPr>
              <w:t>中国电子系统工程第二建设有限公司、</w:t>
            </w:r>
          </w:p>
          <w:p>
            <w:pPr>
              <w:autoSpaceDE w:val="0"/>
              <w:autoSpaceDN w:val="0"/>
              <w:adjustRightInd w:val="0"/>
              <w:snapToGrid w:val="0"/>
              <w:spacing w:line="360" w:lineRule="auto"/>
              <w:jc w:val="center"/>
              <w:rPr>
                <w:rFonts w:ascii="Times New Roman" w:hAnsi="Times New Roman"/>
                <w:szCs w:val="21"/>
              </w:rPr>
            </w:pPr>
            <w:r>
              <w:rPr>
                <w:rFonts w:hint="eastAsia" w:ascii="Times New Roman" w:hAnsi="Times New Roman"/>
                <w:szCs w:val="21"/>
              </w:rPr>
              <w:t>青岛沃柏斯智能实验科技有限公司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52" w:hRule="atLeast"/>
          <w:jc w:val="center"/>
        </w:trPr>
        <w:tc>
          <w:tcPr>
            <w:tcW w:w="1970" w:type="dxa"/>
            <w:vAlign w:val="center"/>
          </w:tcPr>
          <w:p>
            <w:pPr>
              <w:autoSpaceDE w:val="0"/>
              <w:autoSpaceDN w:val="0"/>
              <w:adjustRightInd w:val="0"/>
              <w:snapToGrid w:val="0"/>
              <w:jc w:val="center"/>
              <w:rPr>
                <w:rFonts w:ascii="Times New Roman" w:hAnsi="Times New Roman"/>
                <w:szCs w:val="21"/>
              </w:rPr>
            </w:pPr>
            <w:r>
              <w:rPr>
                <w:rFonts w:ascii="Times New Roman" w:hAnsi="Times New Roman"/>
                <w:szCs w:val="21"/>
              </w:rPr>
              <w:t>推荐单位（盖章）</w:t>
            </w:r>
          </w:p>
          <w:p>
            <w:pPr>
              <w:autoSpaceDE w:val="0"/>
              <w:autoSpaceDN w:val="0"/>
              <w:adjustRightInd w:val="0"/>
              <w:snapToGrid w:val="0"/>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江苏省安装行业协会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9060" w:type="dxa"/>
            <w:gridSpan w:val="4"/>
            <w:vAlign w:val="center"/>
          </w:tcPr>
          <w:p>
            <w:pPr>
              <w:autoSpaceDE w:val="0"/>
              <w:autoSpaceDN w:val="0"/>
              <w:adjustRightInd w:val="0"/>
              <w:snapToGrid w:val="0"/>
              <w:spacing w:line="360" w:lineRule="auto"/>
              <w:ind w:firstLine="410"/>
              <w:jc w:val="center"/>
              <w:rPr>
                <w:rFonts w:ascii="Times New Roman" w:hAnsi="Times New Roman"/>
                <w:szCs w:val="21"/>
                <w:highlight w:val="yellow"/>
              </w:rPr>
            </w:pPr>
            <w:r>
              <w:rPr>
                <w:rFonts w:hint="eastAsia" w:ascii="Times New Roman" w:hAnsi="Times New Roman"/>
                <w:szCs w:val="21"/>
              </w:rPr>
              <w:t>任 务 来 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1970" w:type="dxa"/>
            <w:vAlign w:val="center"/>
          </w:tcPr>
          <w:p>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12" w:type="dxa"/>
            <w:vAlign w:val="center"/>
          </w:tcPr>
          <w:p>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9" w:hRule="atLeast"/>
          <w:jc w:val="center"/>
        </w:trPr>
        <w:tc>
          <w:tcPr>
            <w:tcW w:w="1970" w:type="dxa"/>
            <w:vAlign w:val="center"/>
          </w:tcPr>
          <w:p>
            <w:pPr>
              <w:autoSpaceDE w:val="0"/>
              <w:autoSpaceDN w:val="0"/>
              <w:adjustRightInd w:val="0"/>
              <w:snapToGrid w:val="0"/>
              <w:jc w:val="center"/>
              <w:rPr>
                <w:rFonts w:hint="default" w:ascii="Times New Roman" w:hAnsi="Times New Roman"/>
                <w:szCs w:val="21"/>
                <w:lang w:val="en-US" w:eastAsia="zh-CN"/>
              </w:rPr>
            </w:pPr>
            <w:r>
              <w:rPr>
                <w:rFonts w:hint="eastAsia" w:ascii="Times New Roman" w:hAnsi="Times New Roman"/>
                <w:szCs w:val="21"/>
                <w:lang w:val="en-US" w:eastAsia="zh-CN"/>
              </w:rPr>
              <w:t>企业计划</w:t>
            </w:r>
          </w:p>
        </w:tc>
        <w:tc>
          <w:tcPr>
            <w:tcW w:w="2958" w:type="dxa"/>
            <w:vAlign w:val="center"/>
          </w:tcPr>
          <w:p>
            <w:pPr>
              <w:autoSpaceDE w:val="0"/>
              <w:autoSpaceDN w:val="0"/>
              <w:adjustRightInd w:val="0"/>
              <w:snapToGrid w:val="0"/>
              <w:jc w:val="center"/>
              <w:rPr>
                <w:rFonts w:hint="default" w:ascii="Times New Roman" w:hAnsi="Times New Roman"/>
                <w:szCs w:val="21"/>
                <w:lang w:val="en-US" w:eastAsia="zh-CN"/>
              </w:rPr>
            </w:pPr>
            <w:r>
              <w:rPr>
                <w:rFonts w:hint="eastAsia" w:ascii="Times New Roman" w:hAnsi="Times New Roman"/>
                <w:szCs w:val="21"/>
                <w:lang w:val="en-US" w:eastAsia="zh-CN"/>
              </w:rPr>
              <w:t>新冠疫情防控应急设施设计与建设关键技术研究与应用</w:t>
            </w:r>
          </w:p>
        </w:tc>
        <w:tc>
          <w:tcPr>
            <w:tcW w:w="2320" w:type="dxa"/>
            <w:vAlign w:val="center"/>
          </w:tcPr>
          <w:p>
            <w:pPr>
              <w:autoSpaceDE w:val="0"/>
              <w:autoSpaceDN w:val="0"/>
              <w:adjustRightInd w:val="0"/>
              <w:snapToGrid w:val="0"/>
              <w:jc w:val="center"/>
              <w:rPr>
                <w:rFonts w:hint="default" w:ascii="Times New Roman" w:hAnsi="Times New Roman"/>
                <w:szCs w:val="21"/>
                <w:lang w:val="en-US" w:eastAsia="zh-CN"/>
              </w:rPr>
            </w:pPr>
            <w:r>
              <w:rPr>
                <w:rFonts w:hint="eastAsia" w:ascii="Times New Roman" w:hAnsi="Times New Roman"/>
                <w:szCs w:val="21"/>
                <w:lang w:val="en-US" w:eastAsia="zh-CN"/>
              </w:rPr>
              <w:t>CESE2-JSKT-SM-202003</w:t>
            </w:r>
          </w:p>
        </w:tc>
        <w:tc>
          <w:tcPr>
            <w:tcW w:w="1812" w:type="dxa"/>
            <w:vAlign w:val="center"/>
          </w:tcPr>
          <w:p>
            <w:pPr>
              <w:autoSpaceDE w:val="0"/>
              <w:autoSpaceDN w:val="0"/>
              <w:adjustRightInd w:val="0"/>
              <w:snapToGrid w:val="0"/>
              <w:jc w:val="center"/>
              <w:rPr>
                <w:rFonts w:hint="default" w:ascii="Times New Roman" w:hAnsi="Times New Roman" w:eastAsia="宋体"/>
                <w:szCs w:val="21"/>
                <w:lang w:val="en-US" w:eastAsia="zh-CN"/>
              </w:rPr>
            </w:pPr>
            <w:r>
              <w:rPr>
                <w:rFonts w:hint="eastAsia" w:ascii="Times New Roman" w:hAnsi="Times New Roman"/>
                <w:szCs w:val="21"/>
                <w:lang w:val="en-US" w:eastAsia="zh-CN"/>
              </w:rPr>
              <w:t>2022年1月20日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970" w:type="dxa"/>
            <w:vAlign w:val="center"/>
          </w:tcPr>
          <w:p>
            <w:pPr>
              <w:adjustRightInd w:val="0"/>
              <w:snapToGrid w:val="0"/>
              <w:spacing w:line="360" w:lineRule="auto"/>
              <w:ind w:firstLine="408"/>
              <w:rPr>
                <w:rFonts w:ascii="Times New Roman" w:hAnsi="Times New Roman" w:eastAsia="方正仿宋_GBK"/>
                <w:sz w:val="28"/>
                <w:szCs w:val="28"/>
              </w:rPr>
            </w:pPr>
          </w:p>
        </w:tc>
        <w:tc>
          <w:tcPr>
            <w:tcW w:w="2958" w:type="dxa"/>
            <w:vAlign w:val="center"/>
          </w:tcPr>
          <w:p>
            <w:pPr>
              <w:adjustRightInd w:val="0"/>
              <w:snapToGrid w:val="0"/>
              <w:spacing w:line="360" w:lineRule="auto"/>
              <w:ind w:firstLine="408"/>
              <w:rPr>
                <w:rFonts w:ascii="Times New Roman" w:hAnsi="Times New Roman" w:eastAsia="方正仿宋_GBK"/>
                <w:sz w:val="28"/>
                <w:szCs w:val="28"/>
              </w:rPr>
            </w:pPr>
          </w:p>
        </w:tc>
        <w:tc>
          <w:tcPr>
            <w:tcW w:w="2320" w:type="dxa"/>
            <w:vAlign w:val="center"/>
          </w:tcPr>
          <w:p>
            <w:pPr>
              <w:adjustRightInd w:val="0"/>
              <w:snapToGrid w:val="0"/>
              <w:spacing w:line="360" w:lineRule="auto"/>
              <w:ind w:firstLine="408"/>
              <w:rPr>
                <w:rFonts w:ascii="Times New Roman" w:hAnsi="Times New Roman" w:eastAsia="方正仿宋_GBK"/>
                <w:sz w:val="28"/>
                <w:szCs w:val="28"/>
              </w:rPr>
            </w:pPr>
          </w:p>
        </w:tc>
        <w:tc>
          <w:tcPr>
            <w:tcW w:w="1812" w:type="dxa"/>
            <w:vAlign w:val="center"/>
          </w:tcPr>
          <w:p>
            <w:pPr>
              <w:adjustRightInd w:val="0"/>
              <w:snapToGrid w:val="0"/>
              <w:spacing w:line="360" w:lineRule="auto"/>
              <w:ind w:firstLine="408"/>
              <w:rPr>
                <w:rFonts w:ascii="Times New Roman" w:hAnsi="Times New Roman" w:eastAsia="方正仿宋_GBK"/>
                <w:sz w:val="28"/>
                <w:szCs w:val="2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970" w:type="dxa"/>
            <w:vAlign w:val="center"/>
          </w:tcPr>
          <w:p>
            <w:pPr>
              <w:adjustRightInd w:val="0"/>
              <w:snapToGrid w:val="0"/>
              <w:spacing w:line="360" w:lineRule="auto"/>
              <w:ind w:firstLine="408"/>
              <w:rPr>
                <w:rFonts w:ascii="Times New Roman" w:hAnsi="Times New Roman" w:eastAsia="方正仿宋_GBK"/>
                <w:sz w:val="28"/>
                <w:szCs w:val="28"/>
              </w:rPr>
            </w:pPr>
          </w:p>
        </w:tc>
        <w:tc>
          <w:tcPr>
            <w:tcW w:w="2958" w:type="dxa"/>
            <w:vAlign w:val="center"/>
          </w:tcPr>
          <w:p>
            <w:pPr>
              <w:adjustRightInd w:val="0"/>
              <w:snapToGrid w:val="0"/>
              <w:spacing w:line="360" w:lineRule="auto"/>
              <w:ind w:firstLine="408"/>
              <w:rPr>
                <w:rFonts w:ascii="Times New Roman" w:hAnsi="Times New Roman" w:eastAsia="方正仿宋_GBK"/>
                <w:sz w:val="28"/>
                <w:szCs w:val="28"/>
              </w:rPr>
            </w:pPr>
          </w:p>
        </w:tc>
        <w:tc>
          <w:tcPr>
            <w:tcW w:w="2320" w:type="dxa"/>
            <w:vAlign w:val="center"/>
          </w:tcPr>
          <w:p>
            <w:pPr>
              <w:adjustRightInd w:val="0"/>
              <w:snapToGrid w:val="0"/>
              <w:spacing w:line="360" w:lineRule="auto"/>
              <w:ind w:firstLine="408"/>
              <w:rPr>
                <w:rFonts w:ascii="Times New Roman" w:hAnsi="Times New Roman" w:eastAsia="方正仿宋_GBK"/>
                <w:sz w:val="28"/>
                <w:szCs w:val="28"/>
              </w:rPr>
            </w:pPr>
          </w:p>
        </w:tc>
        <w:tc>
          <w:tcPr>
            <w:tcW w:w="1812" w:type="dxa"/>
            <w:vAlign w:val="center"/>
          </w:tcPr>
          <w:p>
            <w:pPr>
              <w:adjustRightInd w:val="0"/>
              <w:snapToGrid w:val="0"/>
              <w:spacing w:line="360" w:lineRule="auto"/>
              <w:ind w:firstLine="408"/>
              <w:rPr>
                <w:rFonts w:ascii="Times New Roman" w:hAnsi="Times New Roman" w:eastAsia="方正仿宋_GBK"/>
                <w:sz w:val="28"/>
                <w:szCs w:val="2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970" w:type="dxa"/>
            <w:vAlign w:val="center"/>
          </w:tcPr>
          <w:p>
            <w:pPr>
              <w:adjustRightInd w:val="0"/>
              <w:snapToGrid w:val="0"/>
              <w:spacing w:line="360" w:lineRule="auto"/>
              <w:ind w:firstLine="408"/>
              <w:rPr>
                <w:rFonts w:ascii="Times New Roman" w:hAnsi="Times New Roman" w:eastAsia="方正仿宋_GBK"/>
                <w:sz w:val="28"/>
                <w:szCs w:val="28"/>
              </w:rPr>
            </w:pPr>
          </w:p>
        </w:tc>
        <w:tc>
          <w:tcPr>
            <w:tcW w:w="2958" w:type="dxa"/>
            <w:vAlign w:val="center"/>
          </w:tcPr>
          <w:p>
            <w:pPr>
              <w:adjustRightInd w:val="0"/>
              <w:snapToGrid w:val="0"/>
              <w:spacing w:line="360" w:lineRule="auto"/>
              <w:ind w:firstLine="408"/>
              <w:rPr>
                <w:rFonts w:ascii="Times New Roman" w:hAnsi="Times New Roman" w:eastAsia="方正仿宋_GBK"/>
                <w:sz w:val="28"/>
                <w:szCs w:val="28"/>
              </w:rPr>
            </w:pPr>
          </w:p>
        </w:tc>
        <w:tc>
          <w:tcPr>
            <w:tcW w:w="2320" w:type="dxa"/>
            <w:vAlign w:val="center"/>
          </w:tcPr>
          <w:p>
            <w:pPr>
              <w:adjustRightInd w:val="0"/>
              <w:snapToGrid w:val="0"/>
              <w:spacing w:line="360" w:lineRule="auto"/>
              <w:ind w:firstLine="408"/>
              <w:rPr>
                <w:rFonts w:ascii="Times New Roman" w:hAnsi="Times New Roman" w:eastAsia="方正仿宋_GBK"/>
                <w:sz w:val="28"/>
                <w:szCs w:val="28"/>
              </w:rPr>
            </w:pPr>
          </w:p>
        </w:tc>
        <w:tc>
          <w:tcPr>
            <w:tcW w:w="1812" w:type="dxa"/>
            <w:vAlign w:val="center"/>
          </w:tcPr>
          <w:p>
            <w:pPr>
              <w:adjustRightInd w:val="0"/>
              <w:snapToGrid w:val="0"/>
              <w:spacing w:line="360" w:lineRule="auto"/>
              <w:ind w:firstLine="408"/>
              <w:rPr>
                <w:rFonts w:ascii="Times New Roman" w:hAnsi="Times New Roman" w:eastAsia="方正仿宋_GBK"/>
                <w:sz w:val="28"/>
                <w:szCs w:val="2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970" w:type="dxa"/>
            <w:vAlign w:val="center"/>
          </w:tcPr>
          <w:p>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授权发明专利（项）</w:t>
            </w:r>
          </w:p>
        </w:tc>
        <w:tc>
          <w:tcPr>
            <w:tcW w:w="2958" w:type="dxa"/>
            <w:vAlign w:val="center"/>
          </w:tcPr>
          <w:p>
            <w:pPr>
              <w:autoSpaceDE w:val="0"/>
              <w:autoSpaceDN w:val="0"/>
              <w:adjustRightInd w:val="0"/>
              <w:snapToGrid w:val="0"/>
              <w:spacing w:line="360" w:lineRule="auto"/>
              <w:jc w:val="center"/>
              <w:rPr>
                <w:rFonts w:ascii="Times New Roman" w:hAnsi="Times New Roman"/>
                <w:szCs w:val="21"/>
              </w:rPr>
            </w:pPr>
            <w:r>
              <w:rPr>
                <w:rFonts w:hint="eastAsia" w:ascii="Times New Roman" w:hAnsi="Times New Roman"/>
                <w:szCs w:val="21"/>
              </w:rPr>
              <w:t>1</w:t>
            </w:r>
          </w:p>
        </w:tc>
        <w:tc>
          <w:tcPr>
            <w:tcW w:w="2320" w:type="dxa"/>
            <w:vAlign w:val="center"/>
          </w:tcPr>
          <w:p>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授权其他知识产权（项）</w:t>
            </w:r>
          </w:p>
        </w:tc>
        <w:tc>
          <w:tcPr>
            <w:tcW w:w="1812" w:type="dxa"/>
            <w:vAlign w:val="center"/>
          </w:tcPr>
          <w:p>
            <w:pPr>
              <w:autoSpaceDE w:val="0"/>
              <w:autoSpaceDN w:val="0"/>
              <w:adjustRightInd w:val="0"/>
              <w:snapToGrid w:val="0"/>
              <w:spacing w:line="360" w:lineRule="auto"/>
              <w:jc w:val="center"/>
              <w:rPr>
                <w:rFonts w:ascii="Times New Roman" w:hAnsi="Times New Roman"/>
                <w:szCs w:val="21"/>
              </w:rPr>
            </w:pPr>
            <w:r>
              <w:rPr>
                <w:rFonts w:hint="eastAsia" w:ascii="Times New Roman" w:hAnsi="Times New Roman"/>
                <w:szCs w:val="21"/>
              </w:rPr>
              <w:t>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970" w:type="dxa"/>
            <w:tcBorders>
              <w:bottom w:val="single" w:color="auto" w:sz="8" w:space="0"/>
            </w:tcBorders>
            <w:vAlign w:val="center"/>
          </w:tcPr>
          <w:p>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958" w:type="dxa"/>
            <w:tcBorders>
              <w:bottom w:val="single" w:color="auto" w:sz="8" w:space="0"/>
            </w:tcBorders>
            <w:vAlign w:val="center"/>
          </w:tcPr>
          <w:p>
            <w:pPr>
              <w:autoSpaceDE w:val="0"/>
              <w:autoSpaceDN w:val="0"/>
              <w:adjustRightInd w:val="0"/>
              <w:snapToGrid w:val="0"/>
              <w:spacing w:line="360" w:lineRule="auto"/>
              <w:rPr>
                <w:rFonts w:ascii="Times New Roman" w:hAnsi="Times New Roman"/>
                <w:szCs w:val="21"/>
              </w:rPr>
            </w:pPr>
            <w:r>
              <w:rPr>
                <w:rFonts w:ascii="Times New Roman" w:hAnsi="Times New Roman"/>
                <w:szCs w:val="21"/>
              </w:rPr>
              <w:t xml:space="preserve">起始： </w:t>
            </w:r>
            <w:r>
              <w:rPr>
                <w:rFonts w:hint="eastAsia" w:ascii="Times New Roman" w:hAnsi="Times New Roman"/>
                <w:szCs w:val="21"/>
              </w:rPr>
              <w:t xml:space="preserve">2021 </w:t>
            </w:r>
            <w:r>
              <w:rPr>
                <w:rFonts w:ascii="Times New Roman" w:hAnsi="Times New Roman"/>
                <w:szCs w:val="21"/>
              </w:rPr>
              <w:t xml:space="preserve">年 </w:t>
            </w:r>
            <w:r>
              <w:rPr>
                <w:rFonts w:hint="eastAsia" w:ascii="Times New Roman" w:hAnsi="Times New Roman"/>
                <w:szCs w:val="21"/>
              </w:rPr>
              <w:t>03</w:t>
            </w:r>
            <w:r>
              <w:rPr>
                <w:rFonts w:ascii="Times New Roman" w:hAnsi="Times New Roman"/>
                <w:szCs w:val="21"/>
              </w:rPr>
              <w:t xml:space="preserve"> 月 </w:t>
            </w:r>
            <w:r>
              <w:rPr>
                <w:rFonts w:hint="eastAsia" w:ascii="Times New Roman" w:hAnsi="Times New Roman"/>
                <w:szCs w:val="21"/>
              </w:rPr>
              <w:t>01</w:t>
            </w:r>
            <w:r>
              <w:rPr>
                <w:rFonts w:ascii="Times New Roman" w:hAnsi="Times New Roman"/>
                <w:szCs w:val="21"/>
              </w:rPr>
              <w:t xml:space="preserve"> 日</w:t>
            </w:r>
          </w:p>
        </w:tc>
        <w:tc>
          <w:tcPr>
            <w:tcW w:w="4132" w:type="dxa"/>
            <w:gridSpan w:val="2"/>
            <w:tcBorders>
              <w:bottom w:val="single" w:color="auto" w:sz="8" w:space="0"/>
            </w:tcBorders>
            <w:vAlign w:val="center"/>
          </w:tcPr>
          <w:p>
            <w:pPr>
              <w:autoSpaceDE w:val="0"/>
              <w:autoSpaceDN w:val="0"/>
              <w:adjustRightInd w:val="0"/>
              <w:snapToGrid w:val="0"/>
              <w:spacing w:line="360" w:lineRule="auto"/>
              <w:rPr>
                <w:rFonts w:ascii="Times New Roman" w:hAnsi="Times New Roman"/>
                <w:szCs w:val="21"/>
                <w:highlight w:val="yellow"/>
              </w:rPr>
            </w:pPr>
            <w:r>
              <w:rPr>
                <w:rFonts w:ascii="Times New Roman" w:hAnsi="Times New Roman"/>
                <w:szCs w:val="21"/>
              </w:rPr>
              <w:t>完成：</w:t>
            </w:r>
            <w:r>
              <w:rPr>
                <w:rFonts w:hint="eastAsia" w:ascii="Times New Roman" w:hAnsi="Times New Roman"/>
                <w:szCs w:val="21"/>
              </w:rPr>
              <w:t>2022</w:t>
            </w:r>
            <w:r>
              <w:rPr>
                <w:rFonts w:ascii="Times New Roman" w:hAnsi="Times New Roman"/>
                <w:szCs w:val="21"/>
              </w:rPr>
              <w:t xml:space="preserve"> 年 </w:t>
            </w:r>
            <w:r>
              <w:rPr>
                <w:rFonts w:hint="eastAsia" w:ascii="Times New Roman" w:hAnsi="Times New Roman"/>
                <w:szCs w:val="21"/>
              </w:rPr>
              <w:t>12</w:t>
            </w:r>
            <w:r>
              <w:rPr>
                <w:rFonts w:ascii="Times New Roman" w:hAnsi="Times New Roman"/>
                <w:szCs w:val="21"/>
              </w:rPr>
              <w:t xml:space="preserve"> 月 </w:t>
            </w:r>
            <w:r>
              <w:rPr>
                <w:rFonts w:hint="eastAsia" w:ascii="Times New Roman" w:hAnsi="Times New Roman"/>
                <w:szCs w:val="21"/>
              </w:rPr>
              <w:t>31</w:t>
            </w:r>
            <w:r>
              <w:rPr>
                <w:rFonts w:ascii="Times New Roman" w:hAnsi="Times New Roman"/>
                <w:szCs w:val="21"/>
              </w:rPr>
              <w:t xml:space="preserve"> 日</w:t>
            </w:r>
          </w:p>
        </w:tc>
      </w:tr>
    </w:tbl>
    <w:p>
      <w:pPr>
        <w:spacing w:line="240" w:lineRule="exact"/>
        <w:rPr>
          <w:rFonts w:ascii="Times New Roman" w:hAnsi="Times New Roman" w:eastAsia="方正黑体_GBK"/>
          <w:szCs w:val="21"/>
        </w:rPr>
      </w:pPr>
    </w:p>
    <w:p>
      <w:pPr>
        <w:jc w:val="center"/>
        <w:rPr>
          <w:rFonts w:ascii="Times New Roman" w:hAnsi="Times New Roman" w:eastAsia="方正黑体_GBK"/>
          <w:sz w:val="30"/>
          <w:szCs w:val="30"/>
        </w:rPr>
      </w:pPr>
    </w:p>
    <w:p>
      <w:pPr>
        <w:jc w:val="center"/>
        <w:rPr>
          <w:rFonts w:ascii="Times New Roman" w:hAnsi="Times New Roman" w:eastAsia="方正黑体_GBK"/>
          <w:sz w:val="30"/>
          <w:szCs w:val="30"/>
        </w:rPr>
      </w:pPr>
    </w:p>
    <w:p>
      <w:pPr>
        <w:jc w:val="center"/>
        <w:rPr>
          <w:rFonts w:ascii="Times New Roman" w:hAnsi="Times New Roman" w:eastAsia="方正黑体_GBK"/>
          <w:sz w:val="30"/>
          <w:szCs w:val="30"/>
        </w:rPr>
      </w:pPr>
      <w:r>
        <w:rPr>
          <w:rFonts w:ascii="Times New Roman" w:hAnsi="Times New Roman" w:eastAsia="方正黑体_GBK"/>
          <w:sz w:val="30"/>
          <w:szCs w:val="30"/>
        </w:rPr>
        <w:t>二、项 目 简 介</w:t>
      </w:r>
    </w:p>
    <w:tbl>
      <w:tblPr>
        <w:tblStyle w:val="4"/>
        <w:tblW w:w="0" w:type="auto"/>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
      <w:tblGrid>
        <w:gridCol w:w="9060"/>
      </w:tblGrid>
      <w:tr>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108" w:type="dxa"/>
            <w:bottom w:w="0" w:type="dxa"/>
            <w:right w:w="108" w:type="dxa"/>
          </w:tblCellMar>
        </w:tblPrEx>
        <w:tc>
          <w:tcPr>
            <w:tcW w:w="9060" w:type="dxa"/>
            <w:tcBorders>
              <w:top w:val="single" w:color="auto" w:sz="8" w:space="0"/>
              <w:bottom w:val="single" w:color="auto" w:sz="8" w:space="0"/>
            </w:tcBorders>
          </w:tcPr>
          <w:p>
            <w:pPr>
              <w:autoSpaceDE w:val="0"/>
              <w:autoSpaceDN w:val="0"/>
              <w:adjustRightInd w:val="0"/>
              <w:spacing w:line="590" w:lineRule="exact"/>
              <w:ind w:firstLine="205" w:firstLineChars="98"/>
              <w:rPr>
                <w:rFonts w:ascii="Times New Roman" w:hAnsi="Times New Roman"/>
                <w:szCs w:val="21"/>
              </w:rPr>
            </w:pPr>
            <w:r>
              <w:rPr>
                <w:rFonts w:ascii="Times New Roman" w:hAnsi="Times New Roman"/>
                <w:szCs w:val="21"/>
              </w:rPr>
              <w:t>（限1200字）</w:t>
            </w:r>
          </w:p>
          <w:p>
            <w:pPr>
              <w:widowControl/>
              <w:ind w:firstLine="420" w:firstLineChars="200"/>
              <w:jc w:val="left"/>
              <w:rPr>
                <w:rFonts w:ascii="Times New Roman" w:hAnsi="Times New Roman"/>
                <w:color w:val="000000"/>
                <w:szCs w:val="21"/>
              </w:rPr>
            </w:pPr>
            <w:r>
              <w:rPr>
                <w:rFonts w:hint="eastAsia" w:ascii="Times New Roman" w:hAnsi="Times New Roman"/>
                <w:color w:val="000000"/>
                <w:szCs w:val="21"/>
              </w:rPr>
              <w:t>后疫情时代，移动式核酸采样工作站、移动式PCR实验室、健康驿站等为代表的应急医疗设施产品层出不穷，可满足应急医疗的时效性需求。但目前其设计、制造、检测验收及使用维护等方面标准化程度低，安全防护标准不一致。因此，如何加快构建和完善安全、可靠的应急医疗设施建设标准体系，是当前公共卫生服务建设的迫切需求。</w:t>
            </w:r>
          </w:p>
          <w:p>
            <w:pPr>
              <w:widowControl/>
              <w:ind w:firstLine="420" w:firstLineChars="200"/>
              <w:jc w:val="left"/>
              <w:rPr>
                <w:rFonts w:ascii="Times New Roman" w:hAnsi="Times New Roman"/>
                <w:color w:val="000000"/>
                <w:szCs w:val="21"/>
              </w:rPr>
            </w:pPr>
            <w:r>
              <w:rPr>
                <w:rFonts w:hint="eastAsia" w:ascii="Times New Roman" w:hAnsi="Times New Roman"/>
                <w:color w:val="000000"/>
                <w:szCs w:val="21"/>
              </w:rPr>
              <w:t>针对上述问题，项目组系统研制了囊括核酸采样、样本PCR检测、集中隔离观察、患者收治等不同种类不同阶段的新冠疫情防控应急医疗设施设计与建造关键技术及标准化体系，主要包括：</w:t>
            </w:r>
          </w:p>
          <w:p>
            <w:pPr>
              <w:widowControl/>
              <w:ind w:firstLine="422" w:firstLineChars="200"/>
              <w:jc w:val="left"/>
              <w:rPr>
                <w:rFonts w:ascii="Times New Roman" w:hAnsi="Times New Roman"/>
                <w:color w:val="000000"/>
                <w:szCs w:val="21"/>
              </w:rPr>
            </w:pPr>
            <w:r>
              <w:rPr>
                <w:rFonts w:hint="eastAsia" w:ascii="Times New Roman" w:hAnsi="Times New Roman"/>
                <w:b/>
                <w:bCs/>
                <w:color w:val="000000"/>
                <w:szCs w:val="21"/>
              </w:rPr>
              <w:t>一、模块化防护型移动核酸采集舱建设关键技术。</w:t>
            </w:r>
            <w:r>
              <w:rPr>
                <w:rFonts w:hint="eastAsia" w:ascii="Times New Roman" w:hAnsi="Times New Roman"/>
                <w:color w:val="000000"/>
                <w:szCs w:val="21"/>
              </w:rPr>
              <w:t>针对核酸采集设施的模块化整装建造、正压防护、洁净通风处理、消毒灭菌等关键技术开展研究。首次建立了四工位采集舱模型，形成一套舒适安全、高效便捷的工作空间的技术方案。创新性的提出了正压双重防护、气溶胶快速收集、舱体深度灭菌及标本低温存储等技术，进一步保证核酸采样设施运行安全及标本检测结果的准确性。</w:t>
            </w:r>
          </w:p>
          <w:p>
            <w:pPr>
              <w:widowControl/>
              <w:ind w:firstLine="422" w:firstLineChars="200"/>
              <w:jc w:val="left"/>
              <w:rPr>
                <w:rFonts w:ascii="Times New Roman" w:hAnsi="Times New Roman"/>
                <w:color w:val="000000"/>
                <w:szCs w:val="21"/>
              </w:rPr>
            </w:pPr>
            <w:r>
              <w:rPr>
                <w:rFonts w:hint="eastAsia" w:ascii="Times New Roman" w:hAnsi="Times New Roman"/>
                <w:b/>
                <w:bCs/>
                <w:color w:val="000000"/>
                <w:szCs w:val="21"/>
              </w:rPr>
              <w:t>二、新冠核酸PCR检测设施建设关键技术。</w:t>
            </w:r>
            <w:r>
              <w:rPr>
                <w:rFonts w:hint="eastAsia" w:ascii="Times New Roman" w:hAnsi="Times New Roman"/>
                <w:color w:val="000000"/>
                <w:szCs w:val="21"/>
              </w:rPr>
              <w:t>针对PCR实验检测设施及其变风量压差控制、内部气流组织、生物安全柜排风等技术开展研究。创新性的提出了二分区移动式PCR实验舱、可满足大批量检测需求的高效能PCR检测车间建造技术及全排型生物安全柜补偿风口负压控制技术。形成一套包括移动式PCR实验舱、高效能新冠核酸PCR车间在内的安全高效的PCR检测设施建设技术方案，助力全面提升地区核酸检测能力及其储备。</w:t>
            </w:r>
          </w:p>
          <w:p>
            <w:pPr>
              <w:widowControl/>
              <w:ind w:firstLine="422" w:firstLineChars="200"/>
              <w:jc w:val="left"/>
              <w:rPr>
                <w:rFonts w:ascii="Times New Roman" w:hAnsi="Times New Roman"/>
                <w:color w:val="000000"/>
                <w:szCs w:val="21"/>
              </w:rPr>
            </w:pPr>
            <w:r>
              <w:rPr>
                <w:rFonts w:hint="eastAsia" w:ascii="Times New Roman" w:hAnsi="Times New Roman"/>
                <w:b/>
                <w:bCs/>
                <w:color w:val="000000"/>
                <w:szCs w:val="21"/>
              </w:rPr>
              <w:t>三、模块化应急医疗隔离观察中心建设关键技术。</w:t>
            </w:r>
            <w:r>
              <w:rPr>
                <w:rFonts w:hint="eastAsia" w:ascii="Times New Roman" w:hAnsi="Times New Roman"/>
                <w:color w:val="000000"/>
                <w:szCs w:val="21"/>
              </w:rPr>
              <w:t>针对集中隔离观察设施的建设，从功能布局、隔离管控、自动消毒灭菌及污染的防扩散技术等方面开展研究。创新性的提出了大污染防护区、隔离分区管控的概念、隔离观察中心零距离隔离管控技术及自动定位定时消毒及监测技术，满足医疗洁净场所环境要求的同时可缩短建造工期，满足应急医疗的时效性需求。</w:t>
            </w:r>
          </w:p>
          <w:p>
            <w:pPr>
              <w:widowControl/>
              <w:ind w:firstLine="422" w:firstLineChars="200"/>
              <w:jc w:val="left"/>
              <w:rPr>
                <w:rFonts w:ascii="Times New Roman" w:hAnsi="Times New Roman"/>
                <w:color w:val="000000"/>
                <w:szCs w:val="21"/>
              </w:rPr>
            </w:pPr>
            <w:r>
              <w:rPr>
                <w:rFonts w:hint="eastAsia" w:ascii="Times New Roman" w:hAnsi="Times New Roman"/>
                <w:b/>
                <w:bCs/>
                <w:color w:val="000000"/>
                <w:szCs w:val="21"/>
              </w:rPr>
              <w:t>四、过氧化氢远距离管道消毒技术。</w:t>
            </w:r>
            <w:r>
              <w:rPr>
                <w:rFonts w:hint="eastAsia" w:ascii="Times New Roman" w:hAnsi="Times New Roman"/>
                <w:color w:val="000000"/>
                <w:szCs w:val="21"/>
              </w:rPr>
              <w:t>针对过氧化氢远距离消毒管路系统设计、VHP浓度快速监测技术等方面开展研究。创新性的提出了一种新型过氧化氢远距离管道消毒技术，实现大面积生物安全实验室定点定量输送消毒气体，具有高效、可重复的消毒效果，同时避免了人员近距离操作，极大地降低了安全风险。</w:t>
            </w:r>
          </w:p>
          <w:p>
            <w:pPr>
              <w:widowControl/>
              <w:ind w:firstLine="420" w:firstLineChars="200"/>
              <w:jc w:val="left"/>
              <w:rPr>
                <w:rFonts w:ascii="Times New Roman" w:hAnsi="Times New Roman"/>
                <w:color w:val="000000"/>
                <w:szCs w:val="21"/>
              </w:rPr>
            </w:pPr>
            <w:r>
              <w:rPr>
                <w:rFonts w:hint="eastAsia" w:ascii="Times New Roman" w:hAnsi="Times New Roman"/>
                <w:color w:val="000000"/>
                <w:szCs w:val="21"/>
              </w:rPr>
              <w:t>结合以上关键技术研究创新，项目已授权发明专利1项，授权实用新型专利6项，授权外观设计专利1项，参编标准4部（其中国家标准2部，地方标准1部、团体标准1部），发表论文2篇。经第三方查新机构检索，国内外公开文献中未见与该项目技术特点完全相同的技术公开。项目通过了江苏省安装行业协会组织的科技成果评价，评价委员会专家一致认为，项目成果综合技术达到国内领先水平。</w:t>
            </w:r>
          </w:p>
          <w:p>
            <w:pPr>
              <w:widowControl/>
              <w:ind w:firstLine="420" w:firstLineChars="200"/>
              <w:jc w:val="left"/>
              <w:rPr>
                <w:rFonts w:ascii="Times New Roman" w:hAnsi="Times New Roman"/>
                <w:color w:val="000000"/>
                <w:szCs w:val="21"/>
              </w:rPr>
            </w:pPr>
            <w:r>
              <w:rPr>
                <w:rFonts w:hint="eastAsia" w:ascii="Times New Roman" w:hAnsi="Times New Roman"/>
                <w:color w:val="000000"/>
                <w:szCs w:val="21"/>
              </w:rPr>
              <w:t>成果已成功应用于无锡市新吴区核酸采样小屋布点项目，以及阜阳市二院、中国科学院大学宁波华美医院等多个应急医疗设施项目，共计新增利润额约225万，取得了良好的经济效益，对提升应急医疗设施领域的技术水平有积极的推动作用，具有广阔的推广前景。</w:t>
            </w:r>
          </w:p>
          <w:p>
            <w:pPr>
              <w:autoSpaceDE w:val="0"/>
              <w:autoSpaceDN w:val="0"/>
              <w:adjustRightInd w:val="0"/>
              <w:spacing w:line="590" w:lineRule="exact"/>
              <w:ind w:firstLine="205" w:firstLineChars="98"/>
              <w:rPr>
                <w:rFonts w:ascii="Times New Roman" w:hAnsi="Times New Roman"/>
                <w:szCs w:val="21"/>
              </w:rPr>
            </w:pPr>
          </w:p>
          <w:p>
            <w:pPr>
              <w:autoSpaceDE w:val="0"/>
              <w:autoSpaceDN w:val="0"/>
              <w:adjustRightInd w:val="0"/>
              <w:spacing w:line="590" w:lineRule="exact"/>
              <w:ind w:firstLine="205" w:firstLineChars="98"/>
              <w:rPr>
                <w:rFonts w:ascii="Times New Roman" w:hAnsi="Times New Roman"/>
                <w:szCs w:val="21"/>
              </w:rPr>
            </w:pPr>
          </w:p>
          <w:p>
            <w:pPr>
              <w:autoSpaceDE w:val="0"/>
              <w:autoSpaceDN w:val="0"/>
              <w:adjustRightInd w:val="0"/>
              <w:spacing w:line="590" w:lineRule="exact"/>
              <w:ind w:firstLine="205" w:firstLineChars="98"/>
              <w:rPr>
                <w:rFonts w:ascii="Times New Roman" w:hAnsi="Times New Roman"/>
                <w:szCs w:val="21"/>
              </w:rPr>
            </w:pPr>
          </w:p>
          <w:p>
            <w:pPr>
              <w:autoSpaceDE w:val="0"/>
              <w:autoSpaceDN w:val="0"/>
              <w:adjustRightInd w:val="0"/>
              <w:spacing w:line="590" w:lineRule="exact"/>
              <w:ind w:firstLine="205" w:firstLineChars="98"/>
              <w:rPr>
                <w:rFonts w:ascii="Times New Roman" w:hAnsi="Times New Roman"/>
                <w:szCs w:val="21"/>
              </w:rPr>
            </w:pPr>
          </w:p>
          <w:p>
            <w:pPr>
              <w:autoSpaceDE w:val="0"/>
              <w:autoSpaceDN w:val="0"/>
              <w:adjustRightInd w:val="0"/>
              <w:spacing w:line="590" w:lineRule="exact"/>
              <w:rPr>
                <w:rFonts w:ascii="Times New Roman" w:hAnsi="Times New Roman"/>
                <w:szCs w:val="21"/>
              </w:rPr>
            </w:pPr>
          </w:p>
        </w:tc>
      </w:tr>
    </w:tbl>
    <w:p>
      <w:pPr>
        <w:jc w:val="center"/>
        <w:rPr>
          <w:rFonts w:ascii="Times New Roman" w:hAnsi="Times New Roman" w:eastAsia="黑体"/>
          <w:sz w:val="30"/>
          <w:szCs w:val="30"/>
        </w:rPr>
      </w:pPr>
      <w:r>
        <w:rPr>
          <w:rFonts w:ascii="Times New Roman" w:hAnsi="Times New Roman" w:eastAsia="方正黑体_GBK"/>
          <w:sz w:val="30"/>
          <w:szCs w:val="30"/>
        </w:rPr>
        <w:t>三、主要科技创新</w:t>
      </w:r>
    </w:p>
    <w:tbl>
      <w:tblPr>
        <w:tblStyle w:val="4"/>
        <w:tblW w:w="0" w:type="auto"/>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
      <w:tblGrid>
        <w:gridCol w:w="9060"/>
      </w:tblGrid>
      <w:tr>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108" w:type="dxa"/>
            <w:bottom w:w="0" w:type="dxa"/>
            <w:right w:w="108" w:type="dxa"/>
          </w:tblCellMar>
        </w:tblPrEx>
        <w:trPr>
          <w:trHeight w:val="12478" w:hRule="atLeast"/>
        </w:trPr>
        <w:tc>
          <w:tcPr>
            <w:tcW w:w="9060" w:type="dxa"/>
            <w:tcBorders>
              <w:top w:val="single" w:color="auto" w:sz="8" w:space="0"/>
              <w:bottom w:val="single" w:color="auto" w:sz="8" w:space="0"/>
            </w:tcBorders>
          </w:tcPr>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庚子年初一场突如其来的新冠肺炎疫情，给我国医疗卫生领域带来了前所未有的压力，暴露了我国医院空间资源弹性应对能力的短板。2021年4月，中共中央国务院发布《关于新时代推动中部地区高质量发展的意见》提出，完善突发公共卫生事件监测预警处置机制，着力补齐公共卫生风险防控和应急管理短板，重点支持早期监测预警能力、应急医疗救治体系、医疗物资储备设施及隔离设施等传染病防治项目建设。</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应急医疗设施要求建造工期短、具有高度的可靠性和安全性，同时其规模和类型需要针对疫情的特点进行合理规划和配置。针对这些技术挑战，项目组面向新冠疫情防控应急设施的需求，系统研制了囊括核酸采样、样本PCR检测、集中隔离观察、患者收治等不同种类不同阶段的新冠疫情防控应急医疗设施设计与建造关键技术及标准化体系，主要包括：</w:t>
            </w:r>
          </w:p>
          <w:p>
            <w:pPr>
              <w:widowControl/>
              <w:spacing w:line="300" w:lineRule="auto"/>
              <w:ind w:firstLine="482" w:firstLineChars="200"/>
              <w:jc w:val="left"/>
              <w:rPr>
                <w:rFonts w:ascii="Times New Roman" w:hAnsi="Times New Roman"/>
                <w:b/>
                <w:bCs/>
                <w:color w:val="000000"/>
                <w:sz w:val="24"/>
                <w:szCs w:val="24"/>
              </w:rPr>
            </w:pPr>
            <w:r>
              <w:rPr>
                <w:rFonts w:hint="eastAsia" w:ascii="Times New Roman" w:hAnsi="Times New Roman"/>
                <w:b/>
                <w:bCs/>
                <w:color w:val="000000"/>
                <w:sz w:val="24"/>
                <w:szCs w:val="24"/>
              </w:rPr>
              <w:t>创新点1：模块化防护型移动核酸采集舱建设关键技术。</w:t>
            </w:r>
          </w:p>
          <w:p>
            <w:pPr>
              <w:widowControl/>
              <w:spacing w:line="300" w:lineRule="auto"/>
              <w:ind w:firstLine="480" w:firstLineChars="200"/>
              <w:jc w:val="left"/>
              <w:rPr>
                <w:rFonts w:ascii="Times New Roman" w:hAnsi="Times New Roman"/>
                <w:color w:val="000000"/>
                <w:sz w:val="24"/>
                <w:szCs w:val="24"/>
              </w:rPr>
            </w:pPr>
            <w:r>
              <w:rPr>
                <w:rFonts w:hint="eastAsia" w:ascii="Times New Roman" w:hAnsi="Times New Roman"/>
                <w:color w:val="000000"/>
                <w:sz w:val="24"/>
                <w:szCs w:val="24"/>
              </w:rPr>
              <w:t>【研究背景】核酸检测样本的传统采集方式是在医院或临时采样点进行，工作人员在采样区域有较大感染风险，需身着厚重的二级防护，且随着疫情的扩散和增加的检测需求，传统采样方式已难以满足需求。</w:t>
            </w:r>
          </w:p>
          <w:p>
            <w:pPr>
              <w:widowControl/>
              <w:spacing w:line="300" w:lineRule="auto"/>
              <w:ind w:firstLine="480" w:firstLineChars="200"/>
              <w:jc w:val="left"/>
              <w:rPr>
                <w:rFonts w:ascii="Times New Roman" w:hAnsi="Times New Roman"/>
                <w:color w:val="000000"/>
                <w:sz w:val="24"/>
                <w:szCs w:val="24"/>
              </w:rPr>
            </w:pPr>
            <w:r>
              <w:rPr>
                <w:rFonts w:hint="eastAsia" w:ascii="Times New Roman" w:hAnsi="Times New Roman"/>
                <w:color w:val="000000"/>
                <w:sz w:val="24"/>
                <w:szCs w:val="24"/>
              </w:rPr>
              <w:t>【技术内容】针对疫情常态化防控需求下巨量的核酸检测需求及应急医疗卫生感控的要求，研究了核酸采集设施的模块化整装建造、正压防护、洁净通风处理、消毒灭菌等关键技术，通过对核酸采样流程及医疗卫生要求的深度调研分析，首次建立了四工位（登记采样集成）的采集舱模型，形成了一套可为工作人员提供舒适安全、高效便捷的工作空间的技术方案。</w:t>
            </w:r>
          </w:p>
          <w:p>
            <w:pPr>
              <w:widowControl/>
              <w:spacing w:line="300" w:lineRule="auto"/>
              <w:ind w:firstLine="482" w:firstLineChars="200"/>
              <w:jc w:val="left"/>
              <w:rPr>
                <w:rFonts w:ascii="Times New Roman" w:hAnsi="Times New Roman"/>
                <w:color w:val="000000"/>
                <w:sz w:val="24"/>
                <w:szCs w:val="24"/>
              </w:rPr>
            </w:pPr>
            <w:r>
              <w:rPr>
                <w:rFonts w:hint="eastAsia" w:ascii="Times New Roman" w:hAnsi="Times New Roman"/>
                <w:b/>
                <w:bCs/>
                <w:color w:val="000000"/>
                <w:sz w:val="24"/>
                <w:szCs w:val="24"/>
              </w:rPr>
              <w:t>（1）整装标准化建造技术。</w:t>
            </w:r>
            <w:r>
              <w:rPr>
                <w:rFonts w:hint="eastAsia" w:ascii="Times New Roman" w:hAnsi="Times New Roman"/>
                <w:color w:val="000000"/>
                <w:sz w:val="24"/>
                <w:szCs w:val="24"/>
              </w:rPr>
              <w:t>设计了模块化防护型移动核酸采集舱装置，集登记、采样功能于一体，配置身份识别、采样耗材发放、实时双向对讲及视频监控等标准功能配置，同时设计了合理的进出流线等医疗工艺平面，可实现全流程无接触式核酸采样，满足快捷高效的采样需求的同时保证了操作人员的安全。</w:t>
            </w:r>
          </w:p>
          <w:p>
            <w:pPr>
              <w:widowControl/>
              <w:spacing w:line="300" w:lineRule="auto"/>
              <w:ind w:firstLine="482" w:firstLineChars="200"/>
              <w:jc w:val="left"/>
              <w:rPr>
                <w:rFonts w:ascii="Times New Roman" w:hAnsi="Times New Roman"/>
                <w:color w:val="000000"/>
                <w:sz w:val="24"/>
                <w:szCs w:val="24"/>
              </w:rPr>
            </w:pPr>
            <w:r>
              <w:rPr>
                <w:rFonts w:hint="eastAsia" w:ascii="Times New Roman" w:hAnsi="Times New Roman"/>
                <w:b/>
                <w:bCs/>
                <w:color w:val="000000"/>
                <w:sz w:val="24"/>
                <w:szCs w:val="24"/>
              </w:rPr>
              <w:t>（2）一体化防护技术。</w:t>
            </w:r>
            <w:r>
              <w:rPr>
                <w:rFonts w:hint="eastAsia" w:ascii="Times New Roman" w:hAnsi="Times New Roman"/>
                <w:color w:val="000000"/>
                <w:sz w:val="24"/>
                <w:szCs w:val="24"/>
              </w:rPr>
              <w:t>为控制病毒的传播及保障工作人员的安全，设计了安全高效的综合防护方案，通过维持合理压差梯度，阻断外界病毒、气溶胶等污染物流入，有效隔离了医务工作人员，并配置直读式压差表及压差报警系统，实时监测环境压力；通过高效过滤器、气溶胶收集装置的设置，有效避免被采集人员之间的交叉污染；通过固定安装在吊顶板上紫外线杀菌灯，可根据轮班班次设置进行定时消杀。</w:t>
            </w:r>
          </w:p>
          <w:p>
            <w:pPr>
              <w:widowControl/>
              <w:spacing w:line="300" w:lineRule="auto"/>
              <w:ind w:firstLine="480" w:firstLineChars="200"/>
              <w:jc w:val="left"/>
              <w:rPr>
                <w:rFonts w:ascii="Times New Roman" w:hAnsi="Times New Roman"/>
                <w:color w:val="000000"/>
                <w:sz w:val="24"/>
                <w:szCs w:val="24"/>
              </w:rPr>
            </w:pPr>
            <w:r>
              <w:rPr>
                <w:rFonts w:hint="eastAsia" w:ascii="Times New Roman" w:hAnsi="Times New Roman"/>
                <w:color w:val="000000"/>
                <w:sz w:val="24"/>
                <w:szCs w:val="24"/>
              </w:rPr>
              <w:t>【技术贡献】技术应用于无锡市新吴区应急防控项目，历经20天顺利交付全区范围内313个核酸采样小屋，圆满完成全区核酸采样小屋部署任务。相比于传统核酸检测样本的采集方式，模块化防护型移动核酸采集舱可以更方便和快速地到达人口密集区域，大幅度增加检测效率，提升核酸采样设施运行的安全性，有效控制疫情的扩散。</w:t>
            </w:r>
          </w:p>
          <w:p>
            <w:pPr>
              <w:widowControl/>
              <w:spacing w:line="300" w:lineRule="auto"/>
              <w:jc w:val="center"/>
              <w:rPr>
                <w:sz w:val="24"/>
                <w:szCs w:val="32"/>
              </w:rPr>
            </w:pPr>
            <w:r>
              <w:rPr>
                <w:sz w:val="24"/>
                <w:szCs w:val="32"/>
              </w:rPr>
              <w:drawing>
                <wp:inline distT="0" distB="0" distL="114300" distR="114300">
                  <wp:extent cx="2717800" cy="2160270"/>
                  <wp:effectExtent l="0" t="0" r="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717800" cy="2160270"/>
                          </a:xfrm>
                          <a:prstGeom prst="rect">
                            <a:avLst/>
                          </a:prstGeom>
                          <a:noFill/>
                          <a:ln>
                            <a:noFill/>
                          </a:ln>
                        </pic:spPr>
                      </pic:pic>
                    </a:graphicData>
                  </a:graphic>
                </wp:inline>
              </w:drawing>
            </w:r>
            <w:r>
              <w:rPr>
                <w:rFonts w:hint="eastAsia"/>
                <w:sz w:val="24"/>
                <w:szCs w:val="32"/>
              </w:rPr>
              <w:t xml:space="preserve">  </w:t>
            </w:r>
            <w:r>
              <w:rPr>
                <w:sz w:val="24"/>
                <w:szCs w:val="32"/>
              </w:rPr>
              <w:drawing>
                <wp:inline distT="0" distB="0" distL="114300" distR="114300">
                  <wp:extent cx="2322830" cy="2160270"/>
                  <wp:effectExtent l="0" t="0" r="127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322830" cy="2160270"/>
                          </a:xfrm>
                          <a:prstGeom prst="rect">
                            <a:avLst/>
                          </a:prstGeom>
                          <a:noFill/>
                          <a:ln>
                            <a:noFill/>
                          </a:ln>
                        </pic:spPr>
                      </pic:pic>
                    </a:graphicData>
                  </a:graphic>
                </wp:inline>
              </w:drawing>
            </w:r>
          </w:p>
          <w:p>
            <w:pPr>
              <w:widowControl/>
              <w:spacing w:line="300" w:lineRule="auto"/>
              <w:jc w:val="center"/>
              <w:rPr>
                <w:rFonts w:ascii="Times New Roman" w:hAnsi="Times New Roman" w:eastAsiaTheme="minorEastAsia"/>
                <w:szCs w:val="24"/>
              </w:rPr>
            </w:pPr>
            <w:r>
              <w:rPr>
                <w:rFonts w:ascii="Times New Roman" w:hAnsi="Times New Roman"/>
                <w:szCs w:val="24"/>
              </w:rPr>
              <w:t>图1. 模块化防护型移动式核酸采集舱</w:t>
            </w:r>
          </w:p>
          <w:p>
            <w:pPr>
              <w:widowControl/>
              <w:spacing w:line="300" w:lineRule="auto"/>
              <w:ind w:firstLine="482" w:firstLineChars="200"/>
              <w:rPr>
                <w:rFonts w:ascii="Times New Roman" w:hAnsi="Times New Roman"/>
                <w:b/>
                <w:bCs/>
                <w:color w:val="000000"/>
                <w:sz w:val="24"/>
                <w:szCs w:val="24"/>
              </w:rPr>
            </w:pPr>
            <w:r>
              <w:rPr>
                <w:rFonts w:hint="eastAsia" w:ascii="Times New Roman" w:hAnsi="Times New Roman"/>
                <w:b/>
                <w:bCs/>
                <w:color w:val="000000"/>
                <w:sz w:val="24"/>
                <w:szCs w:val="24"/>
              </w:rPr>
              <w:t>创新点2：新冠核酸PCR检测设施建设关键技术。</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【研究背景】快速、准确的核酸 PCR 检测是控制疫情蔓延的重要一环，而利用医院配备的PCR实验室或是第三方检测实验室均存在检测能力有限的问题，难以满足大规模检测的需求。</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技术内容】针对需求量大、复杂程度高的核酸检测需求，研究了PCR实验检测设施及其变风量压差控制、内部气流组织、生物安全柜排风等技术，创新性的提出了二分区移动式PCR实验舱，形成了一套包括移动式PCR实验舱、高效能新冠核酸PCR车间在内的安全高效的PCR检测设施建设技术方案。</w:t>
            </w:r>
          </w:p>
          <w:p>
            <w:pPr>
              <w:widowControl/>
              <w:spacing w:line="300" w:lineRule="auto"/>
              <w:ind w:firstLine="482" w:firstLineChars="200"/>
              <w:rPr>
                <w:rFonts w:ascii="Times New Roman" w:hAnsi="Times New Roman"/>
                <w:color w:val="000000"/>
                <w:sz w:val="24"/>
                <w:szCs w:val="24"/>
              </w:rPr>
            </w:pPr>
            <w:r>
              <w:rPr>
                <w:rFonts w:hint="eastAsia" w:ascii="Times New Roman" w:hAnsi="Times New Roman"/>
                <w:b/>
                <w:bCs/>
                <w:color w:val="000000"/>
                <w:sz w:val="24"/>
                <w:szCs w:val="24"/>
              </w:rPr>
              <w:t>（1）高效能新冠核酸PCR实验检测设施建造技术。</w:t>
            </w:r>
            <w:r>
              <w:rPr>
                <w:rFonts w:hint="eastAsia" w:ascii="Times New Roman" w:hAnsi="Times New Roman"/>
                <w:color w:val="000000"/>
                <w:sz w:val="24"/>
                <w:szCs w:val="24"/>
              </w:rPr>
              <w:t>针对新冠核酸PCR检测的高效率、高精度及安全可控的要求，通过对检测流程及设备的分析，设计了采用两分区布局设计的移动式PCR实验舱，区域之间设置独立缓冲间，阻隔区域之间空气流通，维持房间压差；创新性地提出新冠核酸PCR检测车间的概念，车间整体布局采用“三区两通道”理念进行规划，车间各功能区域均按标准模块进行集成化设计，内部进行合理布局规划及交通流线设置，分避免交叉感染。</w:t>
            </w:r>
          </w:p>
          <w:p>
            <w:pPr>
              <w:widowControl/>
              <w:spacing w:line="300" w:lineRule="auto"/>
              <w:jc w:val="center"/>
              <w:rPr>
                <w:rFonts w:ascii="Times New Roman" w:hAnsi="Times New Roman"/>
                <w:szCs w:val="24"/>
              </w:rPr>
            </w:pPr>
            <w:r>
              <w:rPr>
                <w:rFonts w:ascii="Times New Roman" w:hAnsi="Times New Roman"/>
                <w:szCs w:val="24"/>
              </w:rPr>
              <w:drawing>
                <wp:inline distT="0" distB="0" distL="114300" distR="114300">
                  <wp:extent cx="5039995" cy="1824355"/>
                  <wp:effectExtent l="0" t="0" r="190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039995" cy="1824355"/>
                          </a:xfrm>
                          <a:prstGeom prst="rect">
                            <a:avLst/>
                          </a:prstGeom>
                          <a:noFill/>
                          <a:ln>
                            <a:noFill/>
                          </a:ln>
                        </pic:spPr>
                      </pic:pic>
                    </a:graphicData>
                  </a:graphic>
                </wp:inline>
              </w:drawing>
            </w:r>
          </w:p>
          <w:p>
            <w:pPr>
              <w:widowControl/>
              <w:spacing w:line="300" w:lineRule="auto"/>
              <w:jc w:val="center"/>
              <w:rPr>
                <w:rFonts w:ascii="Times New Roman" w:hAnsi="Times New Roman"/>
                <w:szCs w:val="24"/>
              </w:rPr>
            </w:pPr>
            <w:r>
              <w:rPr>
                <w:rFonts w:hint="eastAsia" w:ascii="Times New Roman" w:hAnsi="Times New Roman"/>
                <w:szCs w:val="24"/>
              </w:rPr>
              <w:t>图2. PCR实验舱工艺平面及动线图</w:t>
            </w:r>
          </w:p>
          <w:p>
            <w:pPr>
              <w:widowControl/>
              <w:spacing w:line="300" w:lineRule="auto"/>
              <w:ind w:firstLine="482" w:firstLineChars="200"/>
              <w:rPr>
                <w:rFonts w:ascii="Times New Roman" w:hAnsi="Times New Roman"/>
                <w:color w:val="000000"/>
                <w:sz w:val="24"/>
                <w:szCs w:val="24"/>
              </w:rPr>
            </w:pPr>
            <w:r>
              <w:rPr>
                <w:rFonts w:hint="eastAsia" w:ascii="Times New Roman" w:hAnsi="Times New Roman"/>
                <w:b/>
                <w:bCs/>
                <w:color w:val="000000"/>
                <w:sz w:val="24"/>
                <w:szCs w:val="24"/>
              </w:rPr>
              <w:t>（2）洁净通风处理控制技术。</w:t>
            </w:r>
            <w:r>
              <w:rPr>
                <w:rFonts w:hint="eastAsia" w:ascii="Times New Roman" w:hAnsi="Times New Roman"/>
                <w:color w:val="000000"/>
                <w:sz w:val="24"/>
                <w:szCs w:val="24"/>
              </w:rPr>
              <w:t>针对PCR实验室在工况转化时压力波动平稳控制的要求，通过采用变风量控制技术维持稳定的压差梯度；通过CFD气流组织模拟技术，科学选择送、回（排）风口的类型，合理设置送、回（排）风口的位置和风速，形成定向流，在保护人员安全的同时，将污染气体以最短距离快速排出，有效保障了操作人员的安全。</w:t>
            </w:r>
          </w:p>
          <w:p>
            <w:pPr>
              <w:widowControl/>
              <w:spacing w:line="300" w:lineRule="auto"/>
              <w:jc w:val="center"/>
              <w:rPr>
                <w:rFonts w:ascii="Times New Roman" w:hAnsi="Times New Roman"/>
                <w:szCs w:val="24"/>
              </w:rPr>
            </w:pPr>
            <w:r>
              <w:rPr>
                <w:rFonts w:ascii="Times New Roman" w:hAnsi="Times New Roman"/>
                <w:szCs w:val="24"/>
              </w:rPr>
              <w:drawing>
                <wp:inline distT="0" distB="0" distL="114300" distR="114300">
                  <wp:extent cx="5039995" cy="1678940"/>
                  <wp:effectExtent l="0" t="0" r="1905"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rcRect t="8633" b="7232"/>
                          <a:stretch>
                            <a:fillRect/>
                          </a:stretch>
                        </pic:blipFill>
                        <pic:spPr>
                          <a:xfrm>
                            <a:off x="0" y="0"/>
                            <a:ext cx="5039995" cy="1678940"/>
                          </a:xfrm>
                          <a:prstGeom prst="rect">
                            <a:avLst/>
                          </a:prstGeom>
                          <a:noFill/>
                          <a:ln>
                            <a:noFill/>
                          </a:ln>
                        </pic:spPr>
                      </pic:pic>
                    </a:graphicData>
                  </a:graphic>
                </wp:inline>
              </w:drawing>
            </w:r>
          </w:p>
          <w:p>
            <w:pPr>
              <w:widowControl/>
              <w:spacing w:line="300" w:lineRule="auto"/>
              <w:jc w:val="center"/>
              <w:rPr>
                <w:rFonts w:ascii="Times New Roman" w:hAnsi="Times New Roman"/>
                <w:szCs w:val="24"/>
              </w:rPr>
            </w:pPr>
            <w:r>
              <w:rPr>
                <w:rFonts w:hint="eastAsia" w:ascii="Times New Roman" w:hAnsi="Times New Roman"/>
                <w:szCs w:val="24"/>
              </w:rPr>
              <w:t>图3. PCR实验室通风系统图</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技术贡献】技术应用于阜阳市二院城南院区改造项目、中国科学院大学宁波华美医院大规模核酸检测实验室、建设项目，通过合理规划实验室分区布局，设计合适的压差控制方案，最终大幅提高了建造效率，节约了实施成本合计约45万元，取得了良好的经济、社会效益。</w:t>
            </w:r>
          </w:p>
          <w:p>
            <w:pPr>
              <w:widowControl/>
              <w:spacing w:line="300" w:lineRule="auto"/>
              <w:ind w:firstLine="482" w:firstLineChars="200"/>
              <w:rPr>
                <w:rFonts w:ascii="Times New Roman" w:hAnsi="Times New Roman"/>
                <w:b/>
                <w:bCs/>
                <w:color w:val="000000"/>
                <w:sz w:val="24"/>
                <w:szCs w:val="24"/>
              </w:rPr>
            </w:pPr>
            <w:r>
              <w:rPr>
                <w:rFonts w:hint="eastAsia" w:ascii="Times New Roman" w:hAnsi="Times New Roman"/>
                <w:b/>
                <w:bCs/>
                <w:color w:val="000000"/>
                <w:sz w:val="24"/>
                <w:szCs w:val="24"/>
              </w:rPr>
              <w:t>创新点3：模块化应急医疗隔离观察中心建设关键技术。</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研究背景】应急集中隔离作为阻断病毒传播链的重要防控措施，目前主要有定点酒店集中隔离、简易板房搭接两种，而定点隔离酒店的位置通常无法满足远离人员密集处的要求且内部流线较难满足卫生防控的需求，同时简易板房搭接形式隔离环境较差、装置简陋、房间配套设施不齐全。</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技术内容】研究了集中隔离观察设施的建设，从功能布局、隔离管控管理、自动消毒灭菌及污染的防扩散技术，创新性的提出了大污染防护区、隔离分区管控的概念、隔离观察中心零距离隔离管控技术及自动定位定时消毒及监测技术。</w:t>
            </w:r>
          </w:p>
          <w:p>
            <w:pPr>
              <w:widowControl/>
              <w:spacing w:line="300" w:lineRule="auto"/>
              <w:ind w:firstLine="482" w:firstLineChars="200"/>
              <w:rPr>
                <w:rFonts w:ascii="Times New Roman" w:hAnsi="Times New Roman"/>
                <w:color w:val="000000"/>
                <w:sz w:val="24"/>
                <w:szCs w:val="24"/>
              </w:rPr>
            </w:pPr>
            <w:r>
              <w:rPr>
                <w:rFonts w:hint="eastAsia" w:ascii="Times New Roman" w:hAnsi="Times New Roman"/>
                <w:b/>
                <w:bCs/>
                <w:color w:val="000000"/>
                <w:sz w:val="24"/>
                <w:szCs w:val="24"/>
              </w:rPr>
              <w:t>（1）功能系统化集成技术。</w:t>
            </w:r>
            <w:r>
              <w:rPr>
                <w:rFonts w:hint="eastAsia" w:ascii="Times New Roman" w:hAnsi="Times New Roman"/>
                <w:color w:val="000000"/>
                <w:sz w:val="24"/>
                <w:szCs w:val="24"/>
              </w:rPr>
              <w:t>模块化应急医疗隔离观察中心整体采用模块集成化设置，所有功能区域均采用标准集装箱框架结构拼接，同时按照隔离人员不同种类进行分区隔离，内部进行合理布局规划及交通流线设置，不仅满足医疗洁净场所环境要求，而且建造工期短，可满足应急医疗的时效性需求。</w:t>
            </w:r>
          </w:p>
          <w:p>
            <w:pPr>
              <w:widowControl/>
              <w:spacing w:line="300" w:lineRule="auto"/>
              <w:ind w:firstLine="482" w:firstLineChars="200"/>
              <w:rPr>
                <w:rFonts w:ascii="Times New Roman" w:hAnsi="Times New Roman"/>
                <w:color w:val="000000"/>
                <w:sz w:val="24"/>
                <w:szCs w:val="24"/>
              </w:rPr>
            </w:pPr>
            <w:r>
              <w:rPr>
                <w:rFonts w:hint="eastAsia" w:ascii="Times New Roman" w:hAnsi="Times New Roman"/>
                <w:b/>
                <w:bCs/>
                <w:color w:val="000000"/>
                <w:sz w:val="24"/>
                <w:szCs w:val="24"/>
              </w:rPr>
              <w:t>（2）零接触隔离管控技术。</w:t>
            </w:r>
            <w:r>
              <w:rPr>
                <w:rFonts w:hint="eastAsia" w:ascii="Times New Roman" w:hAnsi="Times New Roman"/>
                <w:color w:val="000000"/>
                <w:sz w:val="24"/>
                <w:szCs w:val="24"/>
              </w:rPr>
              <w:t>通过隔离房间专门配置生命体征健康监测设备、开门告警、双工呼叫对讲等管控设施，医护人员可完成对隔离人员的远程管控，同时通过送餐物流机器人，实现全程无接触式隔离管控。</w:t>
            </w:r>
          </w:p>
          <w:p>
            <w:pPr>
              <w:widowControl/>
              <w:spacing w:line="300" w:lineRule="auto"/>
              <w:ind w:firstLine="482" w:firstLineChars="200"/>
              <w:rPr>
                <w:rFonts w:ascii="Times New Roman" w:hAnsi="Times New Roman"/>
                <w:color w:val="000000"/>
                <w:sz w:val="24"/>
                <w:szCs w:val="24"/>
              </w:rPr>
            </w:pPr>
            <w:r>
              <w:rPr>
                <w:rFonts w:hint="eastAsia" w:ascii="Times New Roman" w:hAnsi="Times New Roman"/>
                <w:b/>
                <w:bCs/>
                <w:color w:val="000000"/>
                <w:sz w:val="24"/>
                <w:szCs w:val="24"/>
              </w:rPr>
              <w:t>（3）自动定位定时消毒及监测技术。</w:t>
            </w:r>
            <w:r>
              <w:rPr>
                <w:rFonts w:hint="eastAsia" w:ascii="Times New Roman" w:hAnsi="Times New Roman"/>
                <w:color w:val="000000"/>
                <w:sz w:val="24"/>
                <w:szCs w:val="24"/>
              </w:rPr>
              <w:t>针对集中隔离观察设施的防控特殊性，研制出一套自动定位定时消毒及监测系统，在接收到消毒指令后，通过自主导航、躲避和移动等方式抵达指定消毒区域，对该区域进行360°无死角消杀，实现人机分离，减少人员操作，有效降低感染风险。</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【技术贡献】技术应用于无锡市新吴区隔离观察中心、阜阳市二院城南院区改造等项目的建设，在疫情影响下迎难而上，为打赢新冠疫情防控狙击战贡献技术力量，得到政府及社会的一致好评。</w:t>
            </w:r>
          </w:p>
          <w:p>
            <w:pPr>
              <w:widowControl/>
              <w:spacing w:line="300" w:lineRule="auto"/>
              <w:jc w:val="center"/>
              <w:rPr>
                <w:rFonts w:ascii="Times New Roman" w:hAnsi="Times New Roman"/>
                <w:szCs w:val="24"/>
              </w:rPr>
            </w:pPr>
            <w:r>
              <w:rPr>
                <w:rFonts w:ascii="Times New Roman" w:hAnsi="Times New Roman"/>
                <w:szCs w:val="24"/>
              </w:rPr>
              <w:drawing>
                <wp:inline distT="0" distB="0" distL="114300" distR="114300">
                  <wp:extent cx="2520315" cy="1417955"/>
                  <wp:effectExtent l="0" t="0" r="698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2520315" cy="1417955"/>
                          </a:xfrm>
                          <a:prstGeom prst="rect">
                            <a:avLst/>
                          </a:prstGeom>
                          <a:noFill/>
                          <a:ln>
                            <a:noFill/>
                          </a:ln>
                        </pic:spPr>
                      </pic:pic>
                    </a:graphicData>
                  </a:graphic>
                </wp:inline>
              </w:drawing>
            </w:r>
            <w:r>
              <w:rPr>
                <w:rFonts w:hint="eastAsia" w:ascii="Times New Roman" w:hAnsi="Times New Roman"/>
                <w:szCs w:val="24"/>
              </w:rPr>
              <w:t xml:space="preserve">  </w:t>
            </w:r>
            <w:r>
              <w:rPr>
                <w:rFonts w:ascii="Times New Roman" w:hAnsi="Times New Roman"/>
                <w:szCs w:val="24"/>
              </w:rPr>
              <w:drawing>
                <wp:inline distT="0" distB="0" distL="114300" distR="114300">
                  <wp:extent cx="2520315" cy="1508125"/>
                  <wp:effectExtent l="0" t="0" r="698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520315" cy="1508125"/>
                          </a:xfrm>
                          <a:prstGeom prst="rect">
                            <a:avLst/>
                          </a:prstGeom>
                          <a:noFill/>
                          <a:ln>
                            <a:noFill/>
                          </a:ln>
                        </pic:spPr>
                      </pic:pic>
                    </a:graphicData>
                  </a:graphic>
                </wp:inline>
              </w:drawing>
            </w:r>
          </w:p>
          <w:p>
            <w:pPr>
              <w:widowControl/>
              <w:spacing w:line="300" w:lineRule="auto"/>
              <w:jc w:val="center"/>
              <w:rPr>
                <w:rFonts w:ascii="Times New Roman" w:hAnsi="Times New Roman"/>
                <w:szCs w:val="24"/>
              </w:rPr>
            </w:pPr>
            <w:r>
              <w:rPr>
                <w:rFonts w:hint="eastAsia" w:ascii="Times New Roman" w:hAnsi="Times New Roman"/>
                <w:szCs w:val="24"/>
              </w:rPr>
              <w:t>分区管控示意图                        隔离单元工艺流线图</w:t>
            </w:r>
          </w:p>
          <w:p>
            <w:pPr>
              <w:widowControl/>
              <w:spacing w:line="300" w:lineRule="auto"/>
              <w:jc w:val="center"/>
              <w:rPr>
                <w:rFonts w:ascii="Times New Roman" w:hAnsi="Times New Roman"/>
                <w:szCs w:val="24"/>
              </w:rPr>
            </w:pPr>
            <w:r>
              <w:rPr>
                <w:rFonts w:hint="eastAsia" w:ascii="Times New Roman" w:hAnsi="Times New Roman"/>
                <w:szCs w:val="24"/>
              </w:rPr>
              <w:t>图4. 模块化应急医疗隔离观察中心</w:t>
            </w:r>
          </w:p>
          <w:p>
            <w:pPr>
              <w:widowControl/>
              <w:spacing w:line="300" w:lineRule="auto"/>
              <w:ind w:firstLine="482" w:firstLineChars="200"/>
              <w:rPr>
                <w:rFonts w:ascii="Times New Roman" w:hAnsi="Times New Roman"/>
                <w:b/>
                <w:bCs/>
                <w:color w:val="000000"/>
                <w:sz w:val="24"/>
                <w:szCs w:val="24"/>
              </w:rPr>
            </w:pPr>
            <w:r>
              <w:rPr>
                <w:rFonts w:hint="eastAsia" w:ascii="Times New Roman" w:hAnsi="Times New Roman"/>
                <w:b/>
                <w:bCs/>
                <w:color w:val="000000"/>
                <w:sz w:val="24"/>
                <w:szCs w:val="24"/>
              </w:rPr>
              <w:t>创新点4：过氧化氢远距离管道消毒技术。</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研究背景】针对定期进行灭菌的实验室，一般采用的是将移动式VHP发生装置放置于消毒空间内，对整个空间进行消杀，但是往往发生装置附近的汽化过氧化氢浓度高远离发生装置的地方浓度低，消毒效果差、难以实现大面积消毒，而且实验室有一定的生物安全风险，人员近距离操作设备，存在人员健康危害问题。</w:t>
            </w:r>
          </w:p>
          <w:p>
            <w:pPr>
              <w:widowControl/>
              <w:spacing w:line="30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技术内容】研究了VHP消毒技术、过氧化氢远距离消毒管路系统设计、VHP浓度快速监测技术等。通过控制消毒循环风机、电动密闭阀、VHP浓度传感器和VHP进回风阀门等逻辑关系，确保气态过氧化氢稳定高效发生，可有效解决长距离输送时气量不足、气体冷凝造成的无法达到目标空间的技术难题；利用CFD气流组织模拟技术，合理布局管道及喷嘴位置和数量，实现实验室内气流的均匀性，并根据VHP快速检测技术实现对整个消毒系统的动态调控。</w:t>
            </w:r>
          </w:p>
          <w:p>
            <w:pPr>
              <w:widowControl/>
              <w:spacing w:line="300" w:lineRule="auto"/>
              <w:jc w:val="center"/>
              <w:rPr>
                <w:rFonts w:ascii="Times New Roman" w:hAnsi="Times New Roman"/>
                <w:szCs w:val="24"/>
              </w:rPr>
            </w:pPr>
            <w:r>
              <w:rPr>
                <w:rFonts w:ascii="Times New Roman" w:hAnsi="Times New Roman"/>
                <w:szCs w:val="24"/>
              </w:rPr>
              <w:drawing>
                <wp:inline distT="0" distB="0" distL="114300" distR="114300">
                  <wp:extent cx="3599815" cy="2160270"/>
                  <wp:effectExtent l="0" t="0" r="698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3599815" cy="2160270"/>
                          </a:xfrm>
                          <a:prstGeom prst="rect">
                            <a:avLst/>
                          </a:prstGeom>
                          <a:noFill/>
                          <a:ln>
                            <a:noFill/>
                          </a:ln>
                        </pic:spPr>
                      </pic:pic>
                    </a:graphicData>
                  </a:graphic>
                </wp:inline>
              </w:drawing>
            </w:r>
          </w:p>
          <w:p>
            <w:pPr>
              <w:widowControl/>
              <w:spacing w:line="300" w:lineRule="auto"/>
              <w:jc w:val="center"/>
              <w:rPr>
                <w:rFonts w:ascii="Times New Roman" w:hAnsi="Times New Roman"/>
                <w:szCs w:val="24"/>
              </w:rPr>
            </w:pPr>
            <w:r>
              <w:rPr>
                <w:rFonts w:hint="eastAsia" w:ascii="Times New Roman" w:hAnsi="Times New Roman"/>
                <w:szCs w:val="24"/>
              </w:rPr>
              <w:t>图5. 过氧化氢远距离消毒技术示意图</w:t>
            </w:r>
          </w:p>
          <w:p>
            <w:pPr>
              <w:widowControl/>
              <w:spacing w:line="300" w:lineRule="auto"/>
              <w:ind w:firstLine="480" w:firstLineChars="200"/>
              <w:rPr>
                <w:rFonts w:ascii="Times New Roman" w:hAnsi="Times New Roman"/>
                <w:szCs w:val="21"/>
              </w:rPr>
            </w:pPr>
            <w:r>
              <w:rPr>
                <w:rFonts w:hint="eastAsia" w:ascii="Times New Roman" w:hAnsi="Times New Roman"/>
                <w:color w:val="000000"/>
                <w:sz w:val="24"/>
                <w:szCs w:val="24"/>
              </w:rPr>
              <w:t>【技术贡献】有效解决汽化过氧化氢分布不均匀、难以实现大面积消毒的问题，实现了大面积生物安全动物实验室定点定量输送消毒气体，具有高效、可重复的消毒效果，同时避免了人员近距离操作，极大地降低了安全风险。</w:t>
            </w:r>
          </w:p>
        </w:tc>
      </w:tr>
    </w:tbl>
    <w:p>
      <w:pPr>
        <w:rPr>
          <w:rFonts w:ascii="Times New Roman" w:hAnsi="Times New Roman" w:eastAsia="方正黑体_GBK"/>
          <w:sz w:val="30"/>
          <w:szCs w:val="30"/>
        </w:rPr>
      </w:pPr>
      <w:r>
        <w:rPr>
          <w:rFonts w:ascii="Times New Roman" w:hAnsi="Times New Roman" w:eastAsia="方正黑体_GBK"/>
          <w:sz w:val="30"/>
          <w:szCs w:val="30"/>
        </w:rPr>
        <w:br w:type="page"/>
      </w:r>
    </w:p>
    <w:p>
      <w:pPr>
        <w:jc w:val="center"/>
        <w:rPr>
          <w:rFonts w:ascii="Times New Roman" w:hAnsi="Times New Roman" w:eastAsia="黑体"/>
          <w:sz w:val="30"/>
          <w:szCs w:val="30"/>
        </w:rPr>
      </w:pPr>
      <w:r>
        <w:rPr>
          <w:rFonts w:ascii="Times New Roman" w:hAnsi="Times New Roman" w:eastAsia="方正黑体_GBK"/>
          <w:sz w:val="30"/>
          <w:szCs w:val="30"/>
        </w:rPr>
        <w:t>四、第三方评价</w:t>
      </w:r>
    </w:p>
    <w:tbl>
      <w:tblPr>
        <w:tblStyle w:val="4"/>
        <w:tblW w:w="0" w:type="auto"/>
        <w:tblInd w:w="0" w:type="dxa"/>
        <w:tblBorders>
          <w:top w:val="single" w:color="auto" w:sz="8" w:space="0"/>
          <w:left w:val="single" w:color="auto" w:sz="8" w:space="0"/>
          <w:bottom w:val="single" w:color="auto" w:sz="8" w:space="0"/>
          <w:right w:val="single" w:color="auto" w:sz="8" w:space="0"/>
          <w:insideH w:val="none" w:color="auto" w:sz="0" w:space="0"/>
          <w:insideV w:val="none" w:color="auto" w:sz="0" w:space="0"/>
        </w:tblBorders>
        <w:tblLayout w:type="fixed"/>
        <w:tblCellMar>
          <w:top w:w="0" w:type="dxa"/>
          <w:left w:w="108" w:type="dxa"/>
          <w:bottom w:w="0" w:type="dxa"/>
          <w:right w:w="108" w:type="dxa"/>
        </w:tblCellMar>
      </w:tblPr>
      <w:tblGrid>
        <w:gridCol w:w="9060"/>
      </w:tblGrid>
      <w:tr>
        <w:tblPrEx>
          <w:tblBorders>
            <w:top w:val="single" w:color="auto" w:sz="8" w:space="0"/>
            <w:left w:val="single" w:color="auto" w:sz="8" w:space="0"/>
            <w:bottom w:val="single" w:color="auto" w:sz="8" w:space="0"/>
            <w:right w:val="single" w:color="auto" w:sz="8" w:space="0"/>
            <w:insideH w:val="none" w:color="auto" w:sz="0" w:space="0"/>
            <w:insideV w:val="none" w:color="auto" w:sz="0" w:space="0"/>
          </w:tblBorders>
          <w:tblCellMar>
            <w:top w:w="0" w:type="dxa"/>
            <w:left w:w="108" w:type="dxa"/>
            <w:bottom w:w="0" w:type="dxa"/>
            <w:right w:w="108" w:type="dxa"/>
          </w:tblCellMar>
        </w:tblPrEx>
        <w:tc>
          <w:tcPr>
            <w:tcW w:w="9060" w:type="dxa"/>
            <w:tcBorders>
              <w:top w:val="single" w:color="auto" w:sz="8" w:space="0"/>
              <w:bottom w:val="single" w:color="auto" w:sz="8" w:space="0"/>
            </w:tcBorders>
          </w:tcPr>
          <w:p>
            <w:pPr>
              <w:numPr>
                <w:ilvl w:val="0"/>
                <w:numId w:val="1"/>
              </w:numPr>
              <w:spacing w:before="120" w:beforeLines="50"/>
              <w:rPr>
                <w:rFonts w:ascii="Times New Roman" w:hAnsi="Times New Roman"/>
                <w:b/>
                <w:bCs/>
                <w:color w:val="000000"/>
                <w:szCs w:val="21"/>
              </w:rPr>
            </w:pPr>
            <w:r>
              <w:rPr>
                <w:rFonts w:ascii="Times New Roman" w:hAnsi="Times New Roman"/>
                <w:b/>
                <w:bCs/>
                <w:color w:val="000000"/>
                <w:szCs w:val="21"/>
              </w:rPr>
              <w:t>成果评价报告</w:t>
            </w:r>
          </w:p>
          <w:p>
            <w:pPr>
              <w:ind w:firstLine="420" w:firstLineChars="200"/>
              <w:rPr>
                <w:rFonts w:ascii="Times New Roman" w:hAnsi="Times New Roman"/>
                <w:color w:val="000000"/>
                <w:szCs w:val="21"/>
              </w:rPr>
            </w:pPr>
            <w:r>
              <w:rPr>
                <w:rFonts w:ascii="Times New Roman" w:hAnsi="Times New Roman"/>
                <w:color w:val="000000"/>
                <w:szCs w:val="21"/>
              </w:rPr>
              <w:t>（证明材料：附件</w:t>
            </w:r>
            <w:r>
              <w:rPr>
                <w:rFonts w:hint="eastAsia" w:ascii="Times New Roman" w:hAnsi="Times New Roman"/>
                <w:color w:val="000000"/>
                <w:szCs w:val="21"/>
              </w:rPr>
              <w:t>3、</w:t>
            </w:r>
            <w:r>
              <w:rPr>
                <w:rFonts w:ascii="Times New Roman" w:hAnsi="Times New Roman"/>
                <w:color w:val="000000"/>
                <w:szCs w:val="21"/>
              </w:rPr>
              <w:t>评价证明）</w:t>
            </w:r>
          </w:p>
          <w:p>
            <w:pPr>
              <w:ind w:firstLine="420" w:firstLineChars="200"/>
              <w:rPr>
                <w:rFonts w:ascii="Times New Roman" w:hAnsi="Times New Roman"/>
                <w:color w:val="000000"/>
                <w:szCs w:val="21"/>
              </w:rPr>
            </w:pPr>
            <w:r>
              <w:rPr>
                <w:rFonts w:ascii="Times New Roman" w:hAnsi="Times New Roman"/>
                <w:color w:val="000000"/>
                <w:szCs w:val="21"/>
              </w:rPr>
              <w:t>2022年7月25日，江苏省安装行业协会在南京组织召开了由中国电子系统工程第二建设有限公司、青岛沃柏斯智能实验科技有限公司共同完成的</w:t>
            </w:r>
            <w:r>
              <w:rPr>
                <w:rFonts w:hint="eastAsia" w:ascii="Times New Roman" w:hAnsi="Times New Roman"/>
                <w:color w:val="000000"/>
                <w:szCs w:val="21"/>
              </w:rPr>
              <w:t>“</w:t>
            </w:r>
            <w:r>
              <w:rPr>
                <w:rFonts w:ascii="Times New Roman" w:hAnsi="Times New Roman"/>
                <w:color w:val="000000"/>
                <w:szCs w:val="21"/>
              </w:rPr>
              <w:t>新冠疫情防控应急设施设计与建设关键技术</w:t>
            </w:r>
            <w:r>
              <w:rPr>
                <w:rFonts w:hint="eastAsia" w:ascii="Times New Roman" w:hAnsi="Times New Roman"/>
                <w:color w:val="000000"/>
                <w:szCs w:val="21"/>
              </w:rPr>
              <w:t>”</w:t>
            </w:r>
            <w:r>
              <w:rPr>
                <w:rFonts w:ascii="Times New Roman" w:hAnsi="Times New Roman"/>
                <w:color w:val="000000"/>
                <w:szCs w:val="21"/>
              </w:rPr>
              <w:t>科技成果评价会。</w:t>
            </w:r>
          </w:p>
          <w:p>
            <w:pPr>
              <w:ind w:firstLine="420" w:firstLineChars="200"/>
              <w:rPr>
                <w:rFonts w:ascii="Times New Roman" w:hAnsi="Times New Roman"/>
                <w:color w:val="000000"/>
                <w:szCs w:val="21"/>
              </w:rPr>
            </w:pPr>
            <w:r>
              <w:rPr>
                <w:rFonts w:ascii="Times New Roman" w:hAnsi="Times New Roman"/>
                <w:color w:val="000000"/>
                <w:szCs w:val="21"/>
              </w:rPr>
              <w:t>由</w:t>
            </w:r>
            <w:r>
              <w:rPr>
                <w:rFonts w:ascii="Times New Roman" w:hAnsi="Times New Roman"/>
                <w:b/>
                <w:bCs/>
                <w:color w:val="000000"/>
                <w:szCs w:val="21"/>
                <w:u w:val="single"/>
              </w:rPr>
              <w:t>研究员级高级工程师马记</w:t>
            </w:r>
            <w:r>
              <w:rPr>
                <w:rFonts w:ascii="Times New Roman" w:hAnsi="Times New Roman"/>
                <w:color w:val="000000"/>
                <w:szCs w:val="21"/>
              </w:rPr>
              <w:t>担任组长的</w:t>
            </w:r>
            <w:r>
              <w:rPr>
                <w:rFonts w:ascii="Times New Roman" w:hAnsi="Times New Roman"/>
                <w:color w:val="000000"/>
                <w:szCs w:val="21"/>
                <w:lang w:eastAsia="zh-Hans"/>
              </w:rPr>
              <w:t>评价</w:t>
            </w:r>
            <w:r>
              <w:rPr>
                <w:rFonts w:ascii="Times New Roman" w:hAnsi="Times New Roman"/>
                <w:color w:val="000000"/>
                <w:szCs w:val="21"/>
              </w:rPr>
              <w:t>委员会认为：</w:t>
            </w:r>
          </w:p>
          <w:p>
            <w:pPr>
              <w:numPr>
                <w:ilvl w:val="0"/>
                <w:numId w:val="2"/>
              </w:numPr>
              <w:ind w:firstLine="420" w:firstLineChars="200"/>
              <w:rPr>
                <w:rFonts w:ascii="Times New Roman" w:hAnsi="Times New Roman"/>
                <w:color w:val="000000"/>
                <w:szCs w:val="21"/>
              </w:rPr>
            </w:pPr>
            <w:r>
              <w:rPr>
                <w:rFonts w:ascii="Times New Roman" w:hAnsi="Times New Roman"/>
                <w:color w:val="000000"/>
                <w:szCs w:val="21"/>
              </w:rPr>
              <w:t>项目提供的评价资料齐全，内容详实，符合评价要求。</w:t>
            </w:r>
          </w:p>
          <w:p>
            <w:pPr>
              <w:numPr>
                <w:ilvl w:val="0"/>
                <w:numId w:val="2"/>
              </w:numPr>
              <w:ind w:firstLine="420" w:firstLineChars="200"/>
              <w:rPr>
                <w:rFonts w:ascii="Times New Roman" w:hAnsi="Times New Roman"/>
                <w:color w:val="000000"/>
                <w:szCs w:val="21"/>
              </w:rPr>
            </w:pPr>
            <w:r>
              <w:rPr>
                <w:rFonts w:ascii="Times New Roman" w:hAnsi="Times New Roman"/>
                <w:color w:val="000000"/>
                <w:szCs w:val="21"/>
              </w:rPr>
              <w:t>项目组针对我国医疗应急设施领域面对突发事件的处理能力严重不足的问题，开展了一系列新冠疫情防控应急设施设计与建设关键技术的研发与应用。建立了四工位（登记采样集成）的采集舱模型，提出了正压双重防护、气溶胶快速收集、舱体深度灭菌及标本低温存储等技术；提出了二分区移动式PCR实验舱、可满足大批量PCR 检测需求的高效能PCR检测车间建造技术及全排型生物安全柜补偿风口负压控制技术；应用了大防护区、隔离分区管控的概念，研发了隔离观察中心零距离隔离污染管控技术及自动定位定时消毒及监测技术，制定了合理的集中隔离观察设施设计建造方案；提出了一种新型的过氧化氢远距离管道消毒技术，实现大面积生物安全动物实验室定点定量输送消毒气体。</w:t>
            </w:r>
          </w:p>
          <w:p>
            <w:pPr>
              <w:numPr>
                <w:ilvl w:val="0"/>
                <w:numId w:val="2"/>
              </w:numPr>
              <w:ind w:firstLine="420" w:firstLineChars="200"/>
              <w:rPr>
                <w:rFonts w:ascii="Times New Roman" w:hAnsi="Times New Roman"/>
                <w:color w:val="000000"/>
                <w:szCs w:val="21"/>
              </w:rPr>
            </w:pPr>
            <w:r>
              <w:rPr>
                <w:rFonts w:ascii="Times New Roman" w:hAnsi="Times New Roman"/>
                <w:color w:val="000000"/>
                <w:szCs w:val="21"/>
              </w:rPr>
              <w:t>项目成果在无锡市新吴区核酸采样小屋布点项目、阜阳市二院城南院区改造项目、中国科学院大学宁波华美医院大规模核酸检测实验室等多个项目上成功应用，取得了显著的综合效益，具有广阔的推广前景。</w:t>
            </w:r>
          </w:p>
          <w:p>
            <w:pPr>
              <w:ind w:firstLine="420" w:firstLineChars="200"/>
              <w:rPr>
                <w:rFonts w:ascii="Times New Roman" w:hAnsi="Times New Roman"/>
                <w:color w:val="000000"/>
                <w:szCs w:val="21"/>
              </w:rPr>
            </w:pPr>
            <w:r>
              <w:rPr>
                <w:rFonts w:ascii="Times New Roman" w:hAnsi="Times New Roman"/>
                <w:color w:val="000000"/>
                <w:szCs w:val="21"/>
              </w:rPr>
              <w:t>评价结论为：评价委员会一致认为，该成果综合技术达到</w:t>
            </w:r>
            <w:r>
              <w:rPr>
                <w:rFonts w:ascii="Times New Roman" w:hAnsi="Times New Roman"/>
                <w:b/>
                <w:bCs/>
                <w:color w:val="000000"/>
                <w:szCs w:val="21"/>
                <w:u w:val="single"/>
              </w:rPr>
              <w:t>国内领先水平</w:t>
            </w:r>
            <w:r>
              <w:rPr>
                <w:rFonts w:ascii="Times New Roman" w:hAnsi="Times New Roman"/>
                <w:color w:val="000000"/>
                <w:szCs w:val="21"/>
              </w:rPr>
              <w:t>。</w:t>
            </w:r>
          </w:p>
          <w:p>
            <w:pPr>
              <w:rPr>
                <w:rFonts w:ascii="Times New Roman" w:hAnsi="Times New Roman"/>
                <w:color w:val="000000"/>
                <w:szCs w:val="21"/>
              </w:rPr>
            </w:pPr>
          </w:p>
          <w:p>
            <w:pPr>
              <w:numPr>
                <w:ilvl w:val="0"/>
                <w:numId w:val="1"/>
              </w:numPr>
              <w:rPr>
                <w:rFonts w:ascii="Times New Roman" w:hAnsi="Times New Roman"/>
                <w:b/>
                <w:bCs/>
                <w:color w:val="000000"/>
                <w:szCs w:val="21"/>
              </w:rPr>
            </w:pPr>
            <w:r>
              <w:rPr>
                <w:rFonts w:ascii="Times New Roman" w:hAnsi="Times New Roman"/>
                <w:b/>
                <w:bCs/>
                <w:color w:val="000000"/>
                <w:szCs w:val="21"/>
              </w:rPr>
              <w:t>科技查新报告</w:t>
            </w:r>
          </w:p>
          <w:p>
            <w:pPr>
              <w:ind w:firstLine="420" w:firstLineChars="200"/>
              <w:rPr>
                <w:rFonts w:ascii="Times New Roman" w:hAnsi="Times New Roman"/>
                <w:color w:val="000000"/>
                <w:szCs w:val="21"/>
              </w:rPr>
            </w:pPr>
            <w:r>
              <w:rPr>
                <w:rFonts w:ascii="Times New Roman" w:hAnsi="Times New Roman"/>
                <w:color w:val="000000"/>
                <w:szCs w:val="21"/>
              </w:rPr>
              <w:t>（证明材料：附件</w:t>
            </w:r>
            <w:r>
              <w:rPr>
                <w:rFonts w:hint="eastAsia" w:ascii="Times New Roman" w:hAnsi="Times New Roman"/>
                <w:color w:val="000000"/>
                <w:szCs w:val="21"/>
              </w:rPr>
              <w:t>7、</w:t>
            </w:r>
            <w:r>
              <w:rPr>
                <w:rFonts w:ascii="Times New Roman" w:hAnsi="Times New Roman"/>
                <w:color w:val="000000"/>
                <w:szCs w:val="21"/>
              </w:rPr>
              <w:t>检索报告）</w:t>
            </w:r>
          </w:p>
          <w:p>
            <w:pPr>
              <w:ind w:firstLine="420" w:firstLineChars="200"/>
              <w:rPr>
                <w:rFonts w:ascii="Times New Roman" w:hAnsi="Times New Roman"/>
                <w:color w:val="000000"/>
                <w:szCs w:val="21"/>
              </w:rPr>
            </w:pPr>
            <w:r>
              <w:rPr>
                <w:rFonts w:ascii="Times New Roman" w:hAnsi="Times New Roman"/>
                <w:color w:val="000000"/>
                <w:szCs w:val="21"/>
              </w:rPr>
              <w:t>2022年6月28日，中国科学院上海科技查新咨询中心对</w:t>
            </w:r>
            <w:r>
              <w:rPr>
                <w:rFonts w:hint="eastAsia" w:ascii="Times New Roman" w:hAnsi="Times New Roman"/>
                <w:color w:val="000000"/>
                <w:szCs w:val="21"/>
              </w:rPr>
              <w:t>“</w:t>
            </w:r>
            <w:r>
              <w:rPr>
                <w:rFonts w:ascii="Times New Roman" w:hAnsi="Times New Roman"/>
                <w:color w:val="000000"/>
                <w:szCs w:val="21"/>
              </w:rPr>
              <w:t>新冠疫情防控应急设施设计与建设关键技术</w:t>
            </w:r>
            <w:r>
              <w:rPr>
                <w:rFonts w:hint="eastAsia" w:ascii="Times New Roman" w:hAnsi="Times New Roman"/>
                <w:color w:val="000000"/>
                <w:szCs w:val="21"/>
              </w:rPr>
              <w:t>”</w:t>
            </w:r>
            <w:r>
              <w:rPr>
                <w:rFonts w:ascii="Times New Roman" w:hAnsi="Times New Roman"/>
                <w:color w:val="000000"/>
                <w:szCs w:val="21"/>
              </w:rPr>
              <w:t>项目进行了国内和国外数据库文献检索，查新点包括：</w:t>
            </w:r>
          </w:p>
          <w:p>
            <w:pPr>
              <w:ind w:firstLine="420" w:firstLineChars="200"/>
              <w:rPr>
                <w:rFonts w:ascii="Times New Roman" w:hAnsi="Times New Roman"/>
                <w:color w:val="000000"/>
                <w:szCs w:val="21"/>
              </w:rPr>
            </w:pPr>
            <w:r>
              <w:rPr>
                <w:rFonts w:ascii="Times New Roman" w:hAnsi="Times New Roman"/>
                <w:color w:val="000000"/>
                <w:szCs w:val="21"/>
              </w:rPr>
              <w:t>（1）模块化防护型移动核酸采集舱建设关键技术：建立了四工位（登记采样集成）的采集舱模型，提出了正压双重防护、气溶胶快速收集、舱体深度灭菌及标本低温存储等技术，进一步保证核酸采样设施运行安全及标本检测结果的准确性。</w:t>
            </w:r>
          </w:p>
          <w:p>
            <w:pPr>
              <w:ind w:firstLine="420" w:firstLineChars="200"/>
              <w:rPr>
                <w:rFonts w:ascii="Times New Roman" w:hAnsi="Times New Roman"/>
                <w:color w:val="000000"/>
                <w:szCs w:val="21"/>
              </w:rPr>
            </w:pPr>
            <w:r>
              <w:rPr>
                <w:rFonts w:ascii="Times New Roman" w:hAnsi="Times New Roman"/>
                <w:color w:val="000000"/>
                <w:szCs w:val="21"/>
              </w:rPr>
              <w:t>（2）新冠核酸PCR检测设施建设关键技术：提出了二分区移动式PCR实验舱、可满足大批量PCR 检测需求的高效能PCR检测车间建造技术及全排型生物安全柜补偿风口负压控制技术。</w:t>
            </w:r>
          </w:p>
          <w:p>
            <w:pPr>
              <w:ind w:firstLine="420" w:firstLineChars="200"/>
              <w:rPr>
                <w:rFonts w:ascii="Times New Roman" w:hAnsi="Times New Roman"/>
                <w:color w:val="000000"/>
                <w:szCs w:val="21"/>
              </w:rPr>
            </w:pPr>
            <w:r>
              <w:rPr>
                <w:rFonts w:ascii="Times New Roman" w:hAnsi="Times New Roman"/>
                <w:color w:val="000000"/>
                <w:szCs w:val="21"/>
              </w:rPr>
              <w:t>（3）模块化应急医疗隔离观察中心建设关键技术：应用了大防护区、隔离分区管控的概念，研发了隔离观察中心零距离隔离污染管控技术及自动定位定时消毒及监测技术。从功能布局、隔离管控管理、自动消毒灭菌及污染的防扩散技术等方面开展研究，制定合理的集中隔离观察设施设计建造方案。</w:t>
            </w:r>
          </w:p>
          <w:p>
            <w:pPr>
              <w:ind w:firstLine="420" w:firstLineChars="200"/>
              <w:rPr>
                <w:rFonts w:ascii="Times New Roman" w:hAnsi="Times New Roman"/>
                <w:color w:val="000000"/>
                <w:szCs w:val="21"/>
              </w:rPr>
            </w:pPr>
            <w:r>
              <w:rPr>
                <w:rFonts w:ascii="Times New Roman" w:hAnsi="Times New Roman"/>
                <w:color w:val="000000"/>
                <w:szCs w:val="21"/>
              </w:rPr>
              <w:t>（4）过氧化氢远距离管道消毒技术∶提出了一种新型的过氧化氢远距离管道消毒技术，实现大面积生物安全动物实验室定点定量输送消毒气体，具有高效、可重复的消毒效果。解决了汽化过氧化氢分布不均匀、难以实现大面积消毒的问题，同时避免了人员近距离操作，极大地降低了安全风险。</w:t>
            </w:r>
          </w:p>
          <w:p>
            <w:pPr>
              <w:ind w:firstLine="420" w:firstLineChars="200"/>
              <w:rPr>
                <w:rFonts w:ascii="Times New Roman" w:hAnsi="Times New Roman"/>
                <w:color w:val="000000"/>
                <w:szCs w:val="21"/>
              </w:rPr>
            </w:pPr>
            <w:r>
              <w:rPr>
                <w:rFonts w:ascii="Times New Roman" w:hAnsi="Times New Roman"/>
                <w:color w:val="000000"/>
                <w:szCs w:val="21"/>
              </w:rPr>
              <w:t>科技查新结论为：经检索，国内外公开文献中</w:t>
            </w:r>
            <w:r>
              <w:rPr>
                <w:rFonts w:ascii="Times New Roman" w:hAnsi="Times New Roman"/>
                <w:b/>
                <w:bCs/>
                <w:color w:val="000000"/>
                <w:szCs w:val="21"/>
                <w:u w:val="single"/>
              </w:rPr>
              <w:t>未见与该项目技术特点完全相同的技术公开，项目具有新颖性</w:t>
            </w:r>
            <w:r>
              <w:rPr>
                <w:rFonts w:ascii="Times New Roman" w:hAnsi="Times New Roman"/>
                <w:color w:val="000000"/>
                <w:szCs w:val="21"/>
              </w:rPr>
              <w:t>。</w:t>
            </w:r>
          </w:p>
          <w:p>
            <w:pPr>
              <w:autoSpaceDE w:val="0"/>
              <w:autoSpaceDN w:val="0"/>
              <w:adjustRightInd w:val="0"/>
              <w:spacing w:line="590" w:lineRule="exact"/>
              <w:ind w:firstLine="156" w:firstLineChars="98"/>
              <w:rPr>
                <w:rFonts w:ascii="Times New Roman" w:hAnsi="Times New Roman"/>
                <w:spacing w:val="-25"/>
                <w:szCs w:val="21"/>
              </w:rPr>
            </w:pPr>
          </w:p>
          <w:p>
            <w:pPr>
              <w:autoSpaceDE w:val="0"/>
              <w:autoSpaceDN w:val="0"/>
              <w:adjustRightInd w:val="0"/>
              <w:spacing w:line="590" w:lineRule="exact"/>
              <w:ind w:firstLine="156" w:firstLineChars="98"/>
              <w:rPr>
                <w:rFonts w:ascii="Times New Roman" w:hAnsi="Times New Roman"/>
                <w:spacing w:val="-25"/>
                <w:szCs w:val="21"/>
              </w:rPr>
            </w:pPr>
          </w:p>
          <w:p>
            <w:pPr>
              <w:autoSpaceDE w:val="0"/>
              <w:autoSpaceDN w:val="0"/>
              <w:adjustRightInd w:val="0"/>
              <w:spacing w:line="590" w:lineRule="exact"/>
              <w:ind w:firstLine="156" w:firstLineChars="98"/>
              <w:rPr>
                <w:rFonts w:ascii="Times New Roman" w:hAnsi="Times New Roman"/>
                <w:spacing w:val="-25"/>
                <w:szCs w:val="21"/>
              </w:rPr>
            </w:pPr>
          </w:p>
        </w:tc>
      </w:tr>
    </w:tbl>
    <w:p>
      <w:pPr>
        <w:jc w:val="left"/>
        <w:rPr>
          <w:rFonts w:ascii="Times New Roman" w:hAnsi="Times New Roman" w:eastAsia="方正黑体_GBK"/>
          <w:sz w:val="30"/>
          <w:szCs w:val="30"/>
        </w:rPr>
      </w:pPr>
      <w:r>
        <w:rPr>
          <w:rFonts w:ascii="Times New Roman" w:hAnsi="Times New Roman" w:eastAsia="方正黑体_GBK"/>
          <w:sz w:val="30"/>
          <w:szCs w:val="30"/>
        </w:rPr>
        <w:t>五、推广应用情况、经济效益、社会效益和环境效益</w:t>
      </w: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812"/>
        <w:gridCol w:w="1812"/>
        <w:gridCol w:w="1812"/>
        <w:gridCol w:w="1920"/>
        <w:gridCol w:w="170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9060" w:type="dxa"/>
            <w:gridSpan w:val="5"/>
            <w:tcBorders>
              <w:top w:val="single" w:color="auto" w:sz="8" w:space="0"/>
            </w:tcBorders>
          </w:tcPr>
          <w:p>
            <w:pPr>
              <w:autoSpaceDE w:val="0"/>
              <w:autoSpaceDN w:val="0"/>
              <w:adjustRightInd w:val="0"/>
              <w:spacing w:line="590" w:lineRule="exact"/>
              <w:rPr>
                <w:rFonts w:ascii="Times New Roman" w:hAnsi="Times New Roman"/>
                <w:szCs w:val="21"/>
              </w:rPr>
            </w:pPr>
            <w:r>
              <w:rPr>
                <w:rFonts w:ascii="Times New Roman" w:hAnsi="Times New Roman"/>
                <w:szCs w:val="21"/>
              </w:rPr>
              <w:t>1、推广应用情况（应用证明请标明应用时间）</w:t>
            </w:r>
          </w:p>
          <w:p>
            <w:pPr>
              <w:ind w:firstLine="420"/>
              <w:rPr>
                <w:rFonts w:ascii="Times New Roman" w:hAnsi="Times New Roman"/>
                <w:color w:val="000000"/>
                <w:szCs w:val="21"/>
              </w:rPr>
            </w:pPr>
            <w:r>
              <w:rPr>
                <w:rFonts w:ascii="Times New Roman" w:hAnsi="Times New Roman"/>
                <w:color w:val="000000"/>
                <w:szCs w:val="21"/>
              </w:rPr>
              <w:t>（证明材料：附件</w:t>
            </w:r>
            <w:r>
              <w:rPr>
                <w:rFonts w:hint="eastAsia" w:ascii="Times New Roman" w:hAnsi="Times New Roman"/>
                <w:color w:val="000000"/>
                <w:szCs w:val="21"/>
              </w:rPr>
              <w:t>4、应用证明</w:t>
            </w:r>
            <w:r>
              <w:rPr>
                <w:rFonts w:ascii="Times New Roman" w:hAnsi="Times New Roman"/>
                <w:color w:val="000000"/>
                <w:szCs w:val="21"/>
              </w:rPr>
              <w:t>）</w:t>
            </w:r>
          </w:p>
          <w:p>
            <w:pPr>
              <w:ind w:firstLine="420"/>
              <w:rPr>
                <w:rFonts w:ascii="Times New Roman" w:hAnsi="Times New Roman"/>
                <w:color w:val="000000"/>
                <w:szCs w:val="21"/>
              </w:rPr>
            </w:pPr>
            <w:r>
              <w:rPr>
                <w:rFonts w:hint="eastAsia" w:ascii="Times New Roman" w:hAnsi="Times New Roman"/>
                <w:color w:val="000000"/>
                <w:szCs w:val="21"/>
              </w:rPr>
              <w:t>项目面向当前公共卫生服务建设的迫切需求，针对公共卫生风险防控和应急管理短板，在模块化防护型移动核酸采集舱建设、新冠核酸PCR检测设施建设、模块化应急医疗隔离观察中心建设、过氧化氢远距离管道消毒等关键技术方面取得了一批创新性研究成果，并先后运用于多个应急医疗项目。</w:t>
            </w:r>
          </w:p>
          <w:p>
            <w:pPr>
              <w:ind w:firstLine="420"/>
              <w:rPr>
                <w:rFonts w:ascii="Times New Roman" w:hAnsi="Times New Roman"/>
                <w:color w:val="000000"/>
                <w:szCs w:val="21"/>
              </w:rPr>
            </w:pPr>
            <w:r>
              <w:rPr>
                <w:rFonts w:hint="eastAsia" w:ascii="Times New Roman" w:hAnsi="Times New Roman"/>
                <w:b/>
                <w:bCs/>
                <w:color w:val="000000"/>
                <w:szCs w:val="21"/>
              </w:rPr>
              <w:t>一、无锡市新吴区核酸采样小屋布点项目（2022年3月底 ~ 2022年5月）。</w:t>
            </w:r>
            <w:r>
              <w:rPr>
                <w:rFonts w:hint="eastAsia" w:ascii="Times New Roman" w:hAnsi="Times New Roman"/>
                <w:color w:val="000000"/>
                <w:szCs w:val="21"/>
              </w:rPr>
              <w:t>疫情之下积极响应政府号召，助力地方疫情防控，历经20天圆满完成无锡市新吴区全区部署313个核酸采样小屋的紧急任务，从设计改良研发、材料生产、装配安装、运输布置全过程投入，为无锡市构建15分钟核酸“采样圈”添砖加瓦，得到政府及社会的一致好评。模块化防护型移动核酸采集舱建设关键技术是本项目中应用的主要技术，其包含整装标准化的设计建造、正压防护、洁净通风处理、深度灭菌消杀、标本存储运输等方面的核心技术。通过本技术成果在本项目中的应用，大幅提高了生产效率，节约了建造成本，同时取得了良好的经济、社会效益，值得推广应用。</w:t>
            </w:r>
          </w:p>
          <w:p>
            <w:pPr>
              <w:ind w:firstLine="420"/>
              <w:rPr>
                <w:rFonts w:ascii="Times New Roman" w:hAnsi="Times New Roman"/>
                <w:color w:val="000000"/>
                <w:szCs w:val="21"/>
              </w:rPr>
            </w:pPr>
            <w:r>
              <w:rPr>
                <w:rFonts w:hint="eastAsia" w:ascii="Times New Roman" w:hAnsi="Times New Roman"/>
                <w:b/>
                <w:bCs/>
                <w:color w:val="000000"/>
                <w:szCs w:val="21"/>
              </w:rPr>
              <w:t>二、中国科学院大学宁波华美医院大规模核酸检测实验室建设项目（2021年10月底 ~ 2022年5月）。</w:t>
            </w:r>
            <w:r>
              <w:rPr>
                <w:rFonts w:hint="eastAsia" w:ascii="Times New Roman" w:hAnsi="Times New Roman"/>
                <w:color w:val="000000"/>
                <w:szCs w:val="21"/>
              </w:rPr>
              <w:t>此基地为宁波市政府委托中国科学院大学宁波华美医院建设，核酸日检测量10万管。本项目通过对新冠核酸PCR检测设施建设关键技术及隔离点建设关键技术的综合应用，合理规划实验室分区布局，设计合适的压差控制方案，最终大幅提高了建造效率，节约了实施成本，同时取得了良好的经济、社会效益。</w:t>
            </w:r>
          </w:p>
          <w:p>
            <w:pPr>
              <w:ind w:firstLine="420"/>
              <w:rPr>
                <w:rFonts w:ascii="Times New Roman" w:hAnsi="Times New Roman"/>
                <w:color w:val="000000"/>
                <w:szCs w:val="21"/>
              </w:rPr>
            </w:pPr>
            <w:r>
              <w:rPr>
                <w:rFonts w:hint="eastAsia" w:ascii="Times New Roman" w:hAnsi="Times New Roman"/>
                <w:b/>
                <w:bCs/>
                <w:color w:val="000000"/>
                <w:szCs w:val="21"/>
              </w:rPr>
              <w:t>三、阜阳市二院城南院区ICU改造项目（2022年4月底）。</w:t>
            </w:r>
            <w:r>
              <w:rPr>
                <w:rFonts w:hint="eastAsia" w:ascii="Times New Roman" w:hAnsi="Times New Roman"/>
                <w:color w:val="000000"/>
                <w:szCs w:val="21"/>
              </w:rPr>
              <w:t>本项目通过对新冠核酸PCR检测设施建设关键技术及隔离点建设关键技术在本项目整体功能规划布局、消毒灭菌处理、污染防扩散等方面的综合运用，合理规划实验室分区布局，设计合适的压差控制方案。最终大幅提高了建造效率，节约了实施成本，同时取得了良好的经济、社会效益。既满足了本工程建设的质量要求，观感性能佳好，又确保用户的实际使用效果，同时实现分区管控，隔离病源，保护好医护人员，提供安全、高效、规范的隔离防控空间。</w:t>
            </w:r>
          </w:p>
          <w:p>
            <w:pPr>
              <w:ind w:firstLine="420"/>
              <w:rPr>
                <w:rFonts w:ascii="Times New Roman" w:hAnsi="Times New Roman"/>
                <w:color w:val="000000"/>
                <w:szCs w:val="21"/>
              </w:rPr>
            </w:pPr>
            <w:r>
              <w:rPr>
                <w:rFonts w:hint="eastAsia" w:ascii="Times New Roman" w:hAnsi="Times New Roman"/>
                <w:color w:val="000000"/>
                <w:szCs w:val="21"/>
              </w:rPr>
              <w:t>综上，项目技术成果成功应用于无锡市新吴区核酸采样小屋布点项目，以及阜阳市二院、中国科学院大学宁波华美医院等多个应急医疗设施项目，共计新增利润额约225万，取得了良好的经济效益。且随着新冠疫情不断反复，病毒不断变异，特别是在国家十四五规划明确提出推动公共卫生保障体系建设的大背景下，应急防控设施的市场容量依旧非常可观。</w:t>
            </w:r>
          </w:p>
          <w:p>
            <w:pPr>
              <w:ind w:firstLine="420"/>
              <w:rPr>
                <w:rFonts w:ascii="Times New Roman" w:hAnsi="Times New Roman"/>
                <w:color w:val="000000"/>
                <w:szCs w:val="21"/>
              </w:rPr>
            </w:pPr>
            <w:r>
              <w:rPr>
                <w:rFonts w:hint="eastAsia" w:ascii="Times New Roman" w:hAnsi="Times New Roman"/>
                <w:color w:val="000000"/>
                <w:szCs w:val="21"/>
              </w:rPr>
              <w:t>该项目技术成果对于短期内迅速提升地区核酸检测能力，加大隔离收治容量、快速实现社会面清零有着巨大的推动作用。进一步提升了江苏省疫情防控应急设施技术，响应“平战结合”原则，全面提高核酸检测效率，确保达到“应检尽检、愿检尽检”，助力疫情防控常态化。项目成果对于提升应急医疗设施领域的技术水平有着积极的推动作用，具有广阔的推广前景。</w:t>
            </w: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p>
            <w:pPr>
              <w:ind w:firstLine="420"/>
              <w:rPr>
                <w:rFonts w:ascii="Times New Roman" w:hAnsi="Times New Roman"/>
                <w:color w:val="00000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9060" w:type="dxa"/>
            <w:gridSpan w:val="5"/>
          </w:tcPr>
          <w:p>
            <w:pPr>
              <w:autoSpaceDE w:val="0"/>
              <w:autoSpaceDN w:val="0"/>
              <w:adjustRightInd w:val="0"/>
              <w:spacing w:line="400" w:lineRule="exact"/>
              <w:rPr>
                <w:rFonts w:ascii="Times New Roman" w:hAnsi="Times New Roman"/>
                <w:szCs w:val="21"/>
              </w:rPr>
            </w:pPr>
            <w:r>
              <w:rPr>
                <w:rFonts w:ascii="Times New Roman" w:hAnsi="Times New Roman"/>
                <w:szCs w:val="21"/>
              </w:rPr>
              <w:t>2、近年直接经济效益                             单位：万元人民币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812" w:type="dxa"/>
            <w:vAlign w:val="center"/>
          </w:tcPr>
          <w:p>
            <w:pPr>
              <w:autoSpaceDE w:val="0"/>
              <w:autoSpaceDN w:val="0"/>
              <w:adjustRightInd w:val="0"/>
              <w:spacing w:line="400" w:lineRule="exact"/>
              <w:jc w:val="center"/>
              <w:rPr>
                <w:rFonts w:ascii="Times New Roman" w:hAnsi="Times New Roman"/>
                <w:szCs w:val="21"/>
              </w:rPr>
            </w:pPr>
          </w:p>
        </w:tc>
        <w:tc>
          <w:tcPr>
            <w:tcW w:w="3624"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812"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年    份</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732</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45</w:t>
            </w:r>
          </w:p>
        </w:tc>
        <w:tc>
          <w:tcPr>
            <w:tcW w:w="1920"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c>
          <w:tcPr>
            <w:tcW w:w="1704"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2022</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2845</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180</w:t>
            </w:r>
          </w:p>
        </w:tc>
        <w:tc>
          <w:tcPr>
            <w:tcW w:w="1920"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c>
          <w:tcPr>
            <w:tcW w:w="1704"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1812"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累    计</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3577</w:t>
            </w:r>
          </w:p>
        </w:tc>
        <w:tc>
          <w:tcPr>
            <w:tcW w:w="1812"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225</w:t>
            </w:r>
          </w:p>
        </w:tc>
        <w:tc>
          <w:tcPr>
            <w:tcW w:w="1920"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c>
          <w:tcPr>
            <w:tcW w:w="1704"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9060" w:type="dxa"/>
            <w:gridSpan w:val="5"/>
          </w:tcPr>
          <w:p>
            <w:pPr>
              <w:adjustRightInd w:val="0"/>
              <w:spacing w:line="400" w:lineRule="exact"/>
              <w:rPr>
                <w:rFonts w:ascii="Times New Roman" w:hAnsi="Times New Roman"/>
                <w:szCs w:val="21"/>
              </w:rPr>
            </w:pPr>
            <w:r>
              <w:rPr>
                <w:rFonts w:ascii="Times New Roman" w:hAnsi="Times New Roman"/>
                <w:szCs w:val="21"/>
              </w:rPr>
              <w:t xml:space="preserve">经济效益的有关说明及各栏目的计算依据： </w:t>
            </w:r>
          </w:p>
          <w:p>
            <w:pPr>
              <w:ind w:firstLine="420" w:firstLineChars="200"/>
              <w:rPr>
                <w:rFonts w:ascii="Times New Roman" w:hAnsi="Times New Roman"/>
                <w:color w:val="000000"/>
                <w:szCs w:val="21"/>
              </w:rPr>
            </w:pPr>
            <w:r>
              <w:rPr>
                <w:rFonts w:ascii="Times New Roman" w:hAnsi="Times New Roman"/>
                <w:color w:val="000000"/>
                <w:szCs w:val="21"/>
              </w:rPr>
              <w:t>该技术成功运用于多项相关应急医疗设施项目工程，大幅提高了生产效率，节约了建造成本，取得了良好的经济效益，共计新增利润额约225万，各项目经济效益具体情况如下：</w:t>
            </w:r>
          </w:p>
          <w:p>
            <w:pPr>
              <w:ind w:firstLine="420" w:firstLineChars="200"/>
              <w:rPr>
                <w:rFonts w:ascii="Times New Roman" w:hAnsi="Times New Roman"/>
                <w:color w:val="000000"/>
                <w:szCs w:val="21"/>
              </w:rPr>
            </w:pPr>
            <w:r>
              <w:rPr>
                <w:rFonts w:ascii="Times New Roman" w:hAnsi="Times New Roman"/>
                <w:color w:val="000000"/>
                <w:szCs w:val="21"/>
              </w:rPr>
              <w:t>1、无锡市新吴区核酸采样小屋布点项目，通过整装模块集成化设计，方案优化，节约材料成本约0.4万/台，人工成本0.2万/台，共计节约制造成本约180万元；</w:t>
            </w:r>
          </w:p>
          <w:p>
            <w:pPr>
              <w:ind w:firstLine="420" w:firstLineChars="200"/>
              <w:rPr>
                <w:rFonts w:ascii="Times New Roman" w:hAnsi="Times New Roman"/>
                <w:color w:val="000000"/>
                <w:szCs w:val="21"/>
              </w:rPr>
            </w:pPr>
            <w:r>
              <w:rPr>
                <w:rFonts w:ascii="Times New Roman" w:hAnsi="Times New Roman"/>
                <w:color w:val="000000"/>
                <w:szCs w:val="21"/>
              </w:rPr>
              <w:t>2、阜阳市二院城南院区改造项目，通过该技术在整体功能规划布局、消毒灭菌处理、污染防扩散等方面的综合运用，合理规划实验室分区布局，设计合适的压差控制方案。大幅提高了建造效率，节约了实施成本约20万元；</w:t>
            </w:r>
          </w:p>
          <w:p>
            <w:pPr>
              <w:ind w:firstLine="420" w:firstLineChars="200"/>
              <w:rPr>
                <w:rFonts w:ascii="Times New Roman" w:hAnsi="Times New Roman"/>
                <w:color w:val="000000"/>
                <w:szCs w:val="21"/>
              </w:rPr>
            </w:pPr>
            <w:r>
              <w:rPr>
                <w:rFonts w:ascii="Times New Roman" w:hAnsi="Times New Roman"/>
                <w:color w:val="000000"/>
                <w:szCs w:val="21"/>
              </w:rPr>
              <w:t>3、中国科学院大学宁波华美医院大规模核酸检测实验室建设项目，通过对新冠核酸PCR 检测设施建设关键技术及隔离点建设关键技术的综合运用，节约建造成本约25万。</w:t>
            </w:r>
          </w:p>
          <w:p>
            <w:pPr>
              <w:adjustRightInd w:val="0"/>
              <w:spacing w:line="400" w:lineRule="exact"/>
              <w:rPr>
                <w:rFonts w:ascii="Times New Roman" w:hAnsi="Times New Roman"/>
                <w:szCs w:val="21"/>
              </w:rPr>
            </w:pP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9060" w:type="dxa"/>
            <w:gridSpan w:val="5"/>
          </w:tcPr>
          <w:p>
            <w:pPr>
              <w:adjustRightInd w:val="0"/>
              <w:spacing w:line="400" w:lineRule="exact"/>
              <w:rPr>
                <w:rFonts w:ascii="Times New Roman" w:hAnsi="Times New Roman"/>
                <w:szCs w:val="21"/>
              </w:rPr>
            </w:pPr>
            <w:r>
              <w:rPr>
                <w:rFonts w:ascii="Times New Roman" w:hAnsi="Times New Roman"/>
                <w:szCs w:val="21"/>
              </w:rPr>
              <w:t>3、社会效益（限200字）</w:t>
            </w:r>
          </w:p>
          <w:p>
            <w:pPr>
              <w:ind w:firstLine="420" w:firstLineChars="200"/>
              <w:rPr>
                <w:rFonts w:ascii="Times New Roman" w:hAnsi="Times New Roman"/>
                <w:color w:val="000000"/>
                <w:szCs w:val="21"/>
              </w:rPr>
            </w:pPr>
            <w:r>
              <w:rPr>
                <w:rFonts w:ascii="Times New Roman" w:hAnsi="Times New Roman"/>
                <w:color w:val="000000"/>
                <w:szCs w:val="21"/>
              </w:rPr>
              <w:t>项目针对当前公共卫生风险防控和应急管理短板，在应急医疗设施领域取得了一批创新性研究成果，成果先后应用于无锡、宁波、阜阳等地区多个应急项目。项目第一完成单位历经20天圆满完成无锡市新吴区全区部署313个核酸采样小屋的紧急任务。此外，成果应用于宁波市大规模核酸检测实验室基地、阜阳市二院城南院区隔离观察中心等项目的建设，得到政府及社会的一致好评，</w:t>
            </w:r>
            <w:r>
              <w:rPr>
                <w:rFonts w:hint="eastAsia" w:ascii="Times New Roman" w:hAnsi="Times New Roman"/>
                <w:color w:val="000000"/>
                <w:szCs w:val="21"/>
              </w:rPr>
              <w:t>助力推动</w:t>
            </w:r>
            <w:r>
              <w:rPr>
                <w:rFonts w:ascii="Times New Roman" w:hAnsi="Times New Roman"/>
                <w:color w:val="000000"/>
                <w:szCs w:val="21"/>
              </w:rPr>
              <w:t>应急医疗设施领域技术水平</w:t>
            </w:r>
            <w:r>
              <w:rPr>
                <w:rFonts w:hint="eastAsia" w:ascii="Times New Roman" w:hAnsi="Times New Roman"/>
                <w:color w:val="000000"/>
                <w:szCs w:val="21"/>
              </w:rPr>
              <w:t>的提升</w:t>
            </w:r>
            <w:r>
              <w:rPr>
                <w:rFonts w:ascii="Times New Roman" w:hAnsi="Times New Roman"/>
                <w:color w:val="000000"/>
                <w:szCs w:val="21"/>
              </w:rPr>
              <w:t>，具有广阔的推广前景。</w:t>
            </w:r>
          </w:p>
          <w:p>
            <w:pPr>
              <w:adjustRightInd w:val="0"/>
              <w:spacing w:line="400" w:lineRule="exact"/>
              <w:ind w:firstLine="410"/>
              <w:rPr>
                <w:rFonts w:ascii="Times New Roman" w:hAnsi="Times New Roman"/>
                <w:szCs w:val="21"/>
              </w:rPr>
            </w:pPr>
          </w:p>
          <w:p>
            <w:pPr>
              <w:autoSpaceDE w:val="0"/>
              <w:autoSpaceDN w:val="0"/>
              <w:adjustRightInd w:val="0"/>
              <w:spacing w:line="400" w:lineRule="exact"/>
              <w:ind w:firstLine="410"/>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9060" w:type="dxa"/>
            <w:gridSpan w:val="5"/>
            <w:tcBorders>
              <w:bottom w:val="single" w:color="auto" w:sz="8" w:space="0"/>
            </w:tcBorders>
          </w:tcPr>
          <w:p>
            <w:pPr>
              <w:adjustRightInd w:val="0"/>
              <w:spacing w:line="400" w:lineRule="exact"/>
              <w:rPr>
                <w:rFonts w:ascii="Times New Roman" w:hAnsi="Times New Roman"/>
                <w:szCs w:val="21"/>
              </w:rPr>
            </w:pPr>
            <w:r>
              <w:rPr>
                <w:rFonts w:ascii="Times New Roman" w:hAnsi="Times New Roman"/>
                <w:szCs w:val="21"/>
              </w:rPr>
              <w:t>4、环境效益（限200字）</w:t>
            </w:r>
          </w:p>
          <w:p>
            <w:pPr>
              <w:ind w:firstLine="420" w:firstLineChars="200"/>
              <w:rPr>
                <w:rFonts w:ascii="Times New Roman" w:hAnsi="Times New Roman"/>
                <w:color w:val="000000"/>
                <w:szCs w:val="21"/>
              </w:rPr>
            </w:pPr>
            <w:r>
              <w:rPr>
                <w:rFonts w:ascii="Times New Roman" w:hAnsi="Times New Roman"/>
                <w:color w:val="000000"/>
                <w:szCs w:val="21"/>
              </w:rPr>
              <w:t>项目</w:t>
            </w:r>
            <w:r>
              <w:rPr>
                <w:rFonts w:hint="eastAsia" w:ascii="Times New Roman" w:hAnsi="Times New Roman"/>
                <w:color w:val="000000"/>
                <w:szCs w:val="21"/>
              </w:rPr>
              <w:t>研究的关于应急医疗设施的模块化建设关键技术，可大幅缩短建筑的施工周期，减少施工所带来的环境污染，有助于提高物资的重复利用率，降低了建设过程中的物资和能源消耗，为突发事件的应急处置提供有力保障的同时，减少了对环境的负面影响和资源浪费。</w:t>
            </w:r>
          </w:p>
          <w:p>
            <w:pPr>
              <w:autoSpaceDE w:val="0"/>
              <w:autoSpaceDN w:val="0"/>
              <w:adjustRightInd w:val="0"/>
              <w:spacing w:line="400" w:lineRule="exact"/>
              <w:rPr>
                <w:rFonts w:ascii="Times New Roman" w:hAnsi="Times New Roman"/>
                <w:szCs w:val="21"/>
              </w:rPr>
            </w:pPr>
          </w:p>
        </w:tc>
      </w:tr>
    </w:tbl>
    <w:p>
      <w:pPr>
        <w:jc w:val="left"/>
        <w:rPr>
          <w:rFonts w:ascii="Times New Roman" w:hAnsi="Times New Roman"/>
          <w:snapToGrid w:val="0"/>
        </w:rPr>
        <w:sectPr>
          <w:pgSz w:w="11906" w:h="16838"/>
          <w:pgMar w:top="1814" w:right="1531" w:bottom="1985" w:left="1531" w:header="720" w:footer="1474" w:gutter="0"/>
          <w:paperSrc w:first="15" w:other="15"/>
          <w:cols w:space="720" w:num="1"/>
        </w:sectPr>
      </w:pPr>
    </w:p>
    <w:p>
      <w:pPr>
        <w:jc w:val="center"/>
        <w:rPr>
          <w:rFonts w:ascii="Times New Roman" w:hAnsi="Times New Roman" w:eastAsia="方正黑体_GBK"/>
          <w:sz w:val="30"/>
          <w:szCs w:val="30"/>
        </w:rPr>
      </w:pPr>
      <w:r>
        <w:rPr>
          <w:rFonts w:ascii="Times New Roman" w:hAnsi="Times New Roman" w:eastAsia="方正黑体_GBK"/>
          <w:sz w:val="30"/>
          <w:szCs w:val="30"/>
        </w:rPr>
        <w:t>六、代表性论文论著情况</w:t>
      </w:r>
    </w:p>
    <w:p>
      <w:pPr>
        <w:rPr>
          <w:rFonts w:ascii="Times New Roman" w:hAnsi="Times New Roman"/>
          <w:sz w:val="28"/>
          <w:szCs w:val="28"/>
        </w:rPr>
      </w:pPr>
    </w:p>
    <w:p>
      <w:pPr>
        <w:rPr>
          <w:rFonts w:ascii="Times New Roman" w:hAnsi="Times New Roman"/>
          <w:sz w:val="30"/>
          <w:szCs w:val="30"/>
        </w:rPr>
      </w:pPr>
      <w:r>
        <w:rPr>
          <w:rFonts w:ascii="Times New Roman" w:hAnsi="Times New Roman"/>
          <w:sz w:val="28"/>
          <w:szCs w:val="28"/>
        </w:rPr>
        <w:t>1、代表性论文论著目录（不超过5篇）</w:t>
      </w:r>
    </w:p>
    <w:tbl>
      <w:tblPr>
        <w:tblStyle w:val="4"/>
        <w:tblW w:w="1338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41"/>
        <w:gridCol w:w="5856"/>
        <w:gridCol w:w="2268"/>
        <w:gridCol w:w="2391"/>
        <w:gridCol w:w="192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941" w:type="dxa"/>
            <w:tcBorders>
              <w:top w:val="single" w:color="auto" w:sz="8" w:space="0"/>
            </w:tcBorders>
            <w:vAlign w:val="center"/>
          </w:tcPr>
          <w:p>
            <w:pPr>
              <w:autoSpaceDE w:val="0"/>
              <w:autoSpaceDN w:val="0"/>
              <w:adjustRightInd w:val="0"/>
              <w:snapToGrid w:val="0"/>
              <w:spacing w:line="340" w:lineRule="exact"/>
              <w:jc w:val="center"/>
              <w:rPr>
                <w:rFonts w:ascii="Times New Roman" w:hAnsi="Times New Roman" w:eastAsia="方正黑体_GBK"/>
                <w:szCs w:val="21"/>
              </w:rPr>
            </w:pPr>
            <w:r>
              <w:rPr>
                <w:rFonts w:ascii="Times New Roman" w:hAnsi="Times New Roman" w:eastAsia="方正黑体_GBK"/>
                <w:szCs w:val="21"/>
              </w:rPr>
              <w:t>序号</w:t>
            </w:r>
          </w:p>
        </w:tc>
        <w:tc>
          <w:tcPr>
            <w:tcW w:w="5856" w:type="dxa"/>
            <w:tcBorders>
              <w:top w:val="single" w:color="auto" w:sz="8" w:space="0"/>
            </w:tcBorders>
            <w:vAlign w:val="center"/>
          </w:tcPr>
          <w:p>
            <w:pPr>
              <w:autoSpaceDE w:val="0"/>
              <w:autoSpaceDN w:val="0"/>
              <w:adjustRightInd w:val="0"/>
              <w:snapToGrid w:val="0"/>
              <w:spacing w:line="340" w:lineRule="exact"/>
              <w:jc w:val="center"/>
              <w:rPr>
                <w:rFonts w:ascii="Times New Roman" w:hAnsi="Times New Roman" w:eastAsia="方正黑体_GBK"/>
                <w:szCs w:val="21"/>
              </w:rPr>
            </w:pPr>
            <w:r>
              <w:rPr>
                <w:rFonts w:ascii="Times New Roman" w:hAnsi="Times New Roman" w:eastAsia="方正黑体_GBK"/>
                <w:szCs w:val="21"/>
              </w:rPr>
              <w:t xml:space="preserve">论文论著名称/刊名/ </w:t>
            </w:r>
          </w:p>
        </w:tc>
        <w:tc>
          <w:tcPr>
            <w:tcW w:w="2268" w:type="dxa"/>
            <w:tcBorders>
              <w:top w:val="single" w:color="auto" w:sz="8" w:space="0"/>
            </w:tcBorders>
            <w:vAlign w:val="center"/>
          </w:tcPr>
          <w:p>
            <w:pPr>
              <w:adjustRightInd w:val="0"/>
              <w:spacing w:line="340" w:lineRule="exact"/>
              <w:jc w:val="center"/>
              <w:rPr>
                <w:rFonts w:ascii="Times New Roman" w:hAnsi="Times New Roman" w:eastAsia="方正黑体_GBK"/>
                <w:szCs w:val="21"/>
              </w:rPr>
            </w:pPr>
            <w:r>
              <w:rPr>
                <w:rFonts w:ascii="Times New Roman" w:hAnsi="Times New Roman" w:eastAsia="方正黑体_GBK"/>
                <w:szCs w:val="21"/>
              </w:rPr>
              <w:t>发表时间</w:t>
            </w:r>
          </w:p>
          <w:p>
            <w:pPr>
              <w:autoSpaceDE w:val="0"/>
              <w:autoSpaceDN w:val="0"/>
              <w:adjustRightInd w:val="0"/>
              <w:snapToGrid w:val="0"/>
              <w:spacing w:line="340" w:lineRule="exact"/>
              <w:jc w:val="center"/>
              <w:rPr>
                <w:rFonts w:ascii="Times New Roman" w:hAnsi="Times New Roman" w:eastAsia="方正黑体_GBK"/>
                <w:szCs w:val="21"/>
              </w:rPr>
            </w:pPr>
            <w:r>
              <w:rPr>
                <w:rFonts w:ascii="Times New Roman" w:hAnsi="Times New Roman" w:eastAsia="方正黑体_GBK"/>
                <w:szCs w:val="21"/>
              </w:rPr>
              <w:t>（年/月/日）</w:t>
            </w:r>
          </w:p>
        </w:tc>
        <w:tc>
          <w:tcPr>
            <w:tcW w:w="2391" w:type="dxa"/>
            <w:tcBorders>
              <w:top w:val="single" w:color="auto" w:sz="8" w:space="0"/>
            </w:tcBorders>
            <w:vAlign w:val="center"/>
          </w:tcPr>
          <w:p>
            <w:pPr>
              <w:autoSpaceDE w:val="0"/>
              <w:autoSpaceDN w:val="0"/>
              <w:adjustRightInd w:val="0"/>
              <w:snapToGrid w:val="0"/>
              <w:spacing w:line="340" w:lineRule="exact"/>
              <w:jc w:val="center"/>
              <w:rPr>
                <w:rFonts w:ascii="Times New Roman" w:hAnsi="Times New Roman" w:eastAsia="方正黑体_GBK"/>
                <w:szCs w:val="21"/>
              </w:rPr>
            </w:pPr>
            <w:r>
              <w:rPr>
                <w:rFonts w:ascii="Times New Roman" w:hAnsi="Times New Roman" w:eastAsia="方正黑体_GBK"/>
                <w:szCs w:val="21"/>
              </w:rPr>
              <w:t>作  者</w:t>
            </w:r>
          </w:p>
        </w:tc>
        <w:tc>
          <w:tcPr>
            <w:tcW w:w="1928" w:type="dxa"/>
            <w:tcBorders>
              <w:top w:val="single" w:color="auto" w:sz="8" w:space="0"/>
            </w:tcBorders>
            <w:vAlign w:val="center"/>
          </w:tcPr>
          <w:p>
            <w:pPr>
              <w:autoSpaceDE w:val="0"/>
              <w:autoSpaceDN w:val="0"/>
              <w:adjustRightInd w:val="0"/>
              <w:snapToGrid w:val="0"/>
              <w:spacing w:line="340" w:lineRule="exact"/>
              <w:jc w:val="center"/>
              <w:rPr>
                <w:rFonts w:ascii="Times New Roman" w:hAnsi="Times New Roman" w:eastAsia="方正黑体_GBK"/>
                <w:szCs w:val="21"/>
              </w:rPr>
            </w:pPr>
            <w:r>
              <w:rPr>
                <w:rFonts w:ascii="Times New Roman" w:hAnsi="Times New Roman" w:eastAsia="方正黑体_GBK"/>
                <w:szCs w:val="21"/>
              </w:rPr>
              <w:t>备  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41" w:type="dxa"/>
            <w:vAlign w:val="center"/>
          </w:tcPr>
          <w:p>
            <w:pPr>
              <w:autoSpaceDE w:val="0"/>
              <w:autoSpaceDN w:val="0"/>
              <w:adjustRightInd w:val="0"/>
              <w:snapToGrid w:val="0"/>
              <w:spacing w:line="280" w:lineRule="exact"/>
              <w:jc w:val="center"/>
              <w:rPr>
                <w:rFonts w:ascii="Times New Roman" w:hAnsi="Times New Roman"/>
                <w:spacing w:val="-25"/>
                <w:szCs w:val="20"/>
              </w:rPr>
            </w:pPr>
            <w:r>
              <w:rPr>
                <w:rFonts w:ascii="Times New Roman" w:hAnsi="Times New Roman"/>
                <w:spacing w:val="-25"/>
                <w:szCs w:val="20"/>
              </w:rPr>
              <w:t>1</w:t>
            </w:r>
          </w:p>
        </w:tc>
        <w:tc>
          <w:tcPr>
            <w:tcW w:w="5856" w:type="dxa"/>
            <w:vAlign w:val="center"/>
          </w:tcPr>
          <w:p>
            <w:pPr>
              <w:autoSpaceDE w:val="0"/>
              <w:autoSpaceDN w:val="0"/>
              <w:adjustRightInd w:val="0"/>
              <w:snapToGrid w:val="0"/>
              <w:spacing w:line="280" w:lineRule="exact"/>
              <w:rPr>
                <w:rFonts w:ascii="Times New Roman" w:hAnsi="Times New Roman"/>
                <w:szCs w:val="21"/>
              </w:rPr>
            </w:pPr>
            <w:r>
              <w:rPr>
                <w:rFonts w:hint="eastAsia" w:ascii="Times New Roman" w:hAnsi="Times New Roman"/>
                <w:szCs w:val="21"/>
              </w:rPr>
              <w:t>集中式PCR实验室设计与建造关键技术分析</w:t>
            </w:r>
          </w:p>
        </w:tc>
        <w:tc>
          <w:tcPr>
            <w:tcW w:w="2268" w:type="dxa"/>
            <w:vAlign w:val="center"/>
          </w:tcPr>
          <w:p>
            <w:pPr>
              <w:autoSpaceDE w:val="0"/>
              <w:autoSpaceDN w:val="0"/>
              <w:adjustRightInd w:val="0"/>
              <w:snapToGrid w:val="0"/>
              <w:spacing w:line="280" w:lineRule="exact"/>
              <w:jc w:val="center"/>
              <w:rPr>
                <w:rFonts w:ascii="Times New Roman" w:hAnsi="Times New Roman"/>
                <w:szCs w:val="21"/>
              </w:rPr>
            </w:pPr>
            <w:r>
              <w:rPr>
                <w:rFonts w:hint="eastAsia" w:ascii="Times New Roman" w:hAnsi="Times New Roman"/>
                <w:szCs w:val="21"/>
              </w:rPr>
              <w:t>2021/7/15</w:t>
            </w:r>
          </w:p>
        </w:tc>
        <w:tc>
          <w:tcPr>
            <w:tcW w:w="2391" w:type="dxa"/>
            <w:vAlign w:val="center"/>
          </w:tcPr>
          <w:p>
            <w:pPr>
              <w:autoSpaceDE w:val="0"/>
              <w:autoSpaceDN w:val="0"/>
              <w:adjustRightInd w:val="0"/>
              <w:snapToGrid w:val="0"/>
              <w:spacing w:line="280" w:lineRule="exact"/>
              <w:jc w:val="center"/>
              <w:rPr>
                <w:rFonts w:ascii="Times New Roman" w:hAnsi="Times New Roman"/>
                <w:szCs w:val="21"/>
              </w:rPr>
            </w:pPr>
            <w:r>
              <w:rPr>
                <w:rFonts w:hint="eastAsia" w:ascii="Times New Roman" w:hAnsi="Times New Roman"/>
                <w:szCs w:val="21"/>
              </w:rPr>
              <w:t>杨九祥、谢景欣、陶刚、董连东</w:t>
            </w:r>
          </w:p>
        </w:tc>
        <w:tc>
          <w:tcPr>
            <w:tcW w:w="1928" w:type="dxa"/>
            <w:vAlign w:val="center"/>
          </w:tcPr>
          <w:p>
            <w:pPr>
              <w:autoSpaceDE w:val="0"/>
              <w:autoSpaceDN w:val="0"/>
              <w:adjustRightInd w:val="0"/>
              <w:snapToGrid w:val="0"/>
              <w:spacing w:line="28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41" w:type="dxa"/>
            <w:vAlign w:val="center"/>
          </w:tcPr>
          <w:p>
            <w:pPr>
              <w:autoSpaceDE w:val="0"/>
              <w:autoSpaceDN w:val="0"/>
              <w:adjustRightInd w:val="0"/>
              <w:snapToGrid w:val="0"/>
              <w:spacing w:line="280" w:lineRule="exact"/>
              <w:jc w:val="center"/>
              <w:rPr>
                <w:rFonts w:ascii="Times New Roman" w:hAnsi="Times New Roman"/>
                <w:spacing w:val="-25"/>
                <w:szCs w:val="20"/>
              </w:rPr>
            </w:pPr>
            <w:r>
              <w:rPr>
                <w:rFonts w:ascii="Times New Roman" w:hAnsi="Times New Roman"/>
                <w:spacing w:val="-25"/>
                <w:szCs w:val="20"/>
              </w:rPr>
              <w:t>2</w:t>
            </w:r>
          </w:p>
        </w:tc>
        <w:tc>
          <w:tcPr>
            <w:tcW w:w="5856" w:type="dxa"/>
            <w:vAlign w:val="center"/>
          </w:tcPr>
          <w:p>
            <w:pPr>
              <w:autoSpaceDE w:val="0"/>
              <w:autoSpaceDN w:val="0"/>
              <w:adjustRightInd w:val="0"/>
              <w:snapToGrid w:val="0"/>
              <w:spacing w:line="280" w:lineRule="exact"/>
              <w:rPr>
                <w:rFonts w:ascii="Times New Roman" w:hAnsi="Times New Roman"/>
                <w:szCs w:val="21"/>
              </w:rPr>
            </w:pPr>
            <w:r>
              <w:rPr>
                <w:rFonts w:hint="eastAsia" w:ascii="Times New Roman" w:hAnsi="Times New Roman"/>
                <w:szCs w:val="21"/>
              </w:rPr>
              <w:t>气化过氧化氢远距离管道输送消毒技术应用分析</w:t>
            </w:r>
          </w:p>
        </w:tc>
        <w:tc>
          <w:tcPr>
            <w:tcW w:w="2268" w:type="dxa"/>
            <w:vAlign w:val="center"/>
          </w:tcPr>
          <w:p>
            <w:pPr>
              <w:autoSpaceDE w:val="0"/>
              <w:autoSpaceDN w:val="0"/>
              <w:adjustRightInd w:val="0"/>
              <w:snapToGrid w:val="0"/>
              <w:spacing w:line="280" w:lineRule="exact"/>
              <w:jc w:val="center"/>
              <w:rPr>
                <w:rFonts w:ascii="Times New Roman" w:hAnsi="Times New Roman"/>
                <w:szCs w:val="21"/>
              </w:rPr>
            </w:pPr>
            <w:r>
              <w:rPr>
                <w:rFonts w:hint="eastAsia" w:ascii="Times New Roman" w:hAnsi="Times New Roman"/>
                <w:szCs w:val="21"/>
              </w:rPr>
              <w:t>2021/5/25</w:t>
            </w:r>
          </w:p>
        </w:tc>
        <w:tc>
          <w:tcPr>
            <w:tcW w:w="2391" w:type="dxa"/>
            <w:vAlign w:val="center"/>
          </w:tcPr>
          <w:p>
            <w:pPr>
              <w:autoSpaceDE w:val="0"/>
              <w:autoSpaceDN w:val="0"/>
              <w:adjustRightInd w:val="0"/>
              <w:snapToGrid w:val="0"/>
              <w:spacing w:line="280" w:lineRule="exact"/>
              <w:jc w:val="center"/>
              <w:rPr>
                <w:rFonts w:ascii="Times New Roman" w:hAnsi="Times New Roman"/>
                <w:szCs w:val="21"/>
              </w:rPr>
            </w:pPr>
            <w:r>
              <w:rPr>
                <w:rFonts w:hint="eastAsia" w:ascii="Times New Roman" w:hAnsi="Times New Roman"/>
                <w:szCs w:val="21"/>
              </w:rPr>
              <w:t>杨九祥、杨建建、陶刚</w:t>
            </w:r>
          </w:p>
        </w:tc>
        <w:tc>
          <w:tcPr>
            <w:tcW w:w="1928" w:type="dxa"/>
            <w:vAlign w:val="center"/>
          </w:tcPr>
          <w:p>
            <w:pPr>
              <w:autoSpaceDE w:val="0"/>
              <w:autoSpaceDN w:val="0"/>
              <w:adjustRightInd w:val="0"/>
              <w:snapToGrid w:val="0"/>
              <w:spacing w:line="28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41" w:type="dxa"/>
            <w:vAlign w:val="center"/>
          </w:tcPr>
          <w:p>
            <w:pPr>
              <w:autoSpaceDE w:val="0"/>
              <w:autoSpaceDN w:val="0"/>
              <w:adjustRightInd w:val="0"/>
              <w:snapToGrid w:val="0"/>
              <w:spacing w:line="280" w:lineRule="exact"/>
              <w:jc w:val="center"/>
              <w:rPr>
                <w:rFonts w:ascii="Times New Roman" w:hAnsi="Times New Roman"/>
                <w:spacing w:val="-25"/>
                <w:szCs w:val="20"/>
              </w:rPr>
            </w:pPr>
            <w:r>
              <w:rPr>
                <w:rFonts w:ascii="Times New Roman" w:hAnsi="Times New Roman"/>
                <w:spacing w:val="-25"/>
                <w:szCs w:val="20"/>
              </w:rPr>
              <w:t>3</w:t>
            </w:r>
          </w:p>
        </w:tc>
        <w:tc>
          <w:tcPr>
            <w:tcW w:w="5856" w:type="dxa"/>
            <w:vAlign w:val="center"/>
          </w:tcPr>
          <w:p>
            <w:pPr>
              <w:autoSpaceDE w:val="0"/>
              <w:autoSpaceDN w:val="0"/>
              <w:adjustRightInd w:val="0"/>
              <w:snapToGrid w:val="0"/>
              <w:spacing w:line="280" w:lineRule="exact"/>
              <w:rPr>
                <w:rFonts w:ascii="Times New Roman" w:hAnsi="Times New Roman"/>
                <w:szCs w:val="21"/>
              </w:rPr>
            </w:pPr>
          </w:p>
        </w:tc>
        <w:tc>
          <w:tcPr>
            <w:tcW w:w="2268" w:type="dxa"/>
            <w:vAlign w:val="center"/>
          </w:tcPr>
          <w:p>
            <w:pPr>
              <w:autoSpaceDE w:val="0"/>
              <w:autoSpaceDN w:val="0"/>
              <w:adjustRightInd w:val="0"/>
              <w:snapToGrid w:val="0"/>
              <w:spacing w:line="280" w:lineRule="exact"/>
              <w:jc w:val="center"/>
              <w:rPr>
                <w:rFonts w:ascii="Times New Roman" w:hAnsi="Times New Roman"/>
                <w:szCs w:val="21"/>
              </w:rPr>
            </w:pPr>
          </w:p>
        </w:tc>
        <w:tc>
          <w:tcPr>
            <w:tcW w:w="2391" w:type="dxa"/>
            <w:vAlign w:val="center"/>
          </w:tcPr>
          <w:p>
            <w:pPr>
              <w:autoSpaceDE w:val="0"/>
              <w:autoSpaceDN w:val="0"/>
              <w:adjustRightInd w:val="0"/>
              <w:snapToGrid w:val="0"/>
              <w:spacing w:line="280" w:lineRule="exact"/>
              <w:jc w:val="center"/>
              <w:rPr>
                <w:rFonts w:ascii="Times New Roman" w:hAnsi="Times New Roman"/>
                <w:szCs w:val="21"/>
              </w:rPr>
            </w:pPr>
          </w:p>
        </w:tc>
        <w:tc>
          <w:tcPr>
            <w:tcW w:w="1928" w:type="dxa"/>
            <w:vAlign w:val="center"/>
          </w:tcPr>
          <w:p>
            <w:pPr>
              <w:autoSpaceDE w:val="0"/>
              <w:autoSpaceDN w:val="0"/>
              <w:adjustRightInd w:val="0"/>
              <w:snapToGrid w:val="0"/>
              <w:spacing w:line="28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41" w:type="dxa"/>
            <w:vAlign w:val="center"/>
          </w:tcPr>
          <w:p>
            <w:pPr>
              <w:autoSpaceDE w:val="0"/>
              <w:autoSpaceDN w:val="0"/>
              <w:adjustRightInd w:val="0"/>
              <w:snapToGrid w:val="0"/>
              <w:spacing w:line="280" w:lineRule="exact"/>
              <w:jc w:val="center"/>
              <w:rPr>
                <w:rFonts w:ascii="Times New Roman" w:hAnsi="Times New Roman"/>
                <w:spacing w:val="-25"/>
                <w:szCs w:val="20"/>
              </w:rPr>
            </w:pPr>
            <w:r>
              <w:rPr>
                <w:rFonts w:ascii="Times New Roman" w:hAnsi="Times New Roman"/>
                <w:spacing w:val="-25"/>
                <w:szCs w:val="20"/>
              </w:rPr>
              <w:t>4</w:t>
            </w:r>
          </w:p>
        </w:tc>
        <w:tc>
          <w:tcPr>
            <w:tcW w:w="5856" w:type="dxa"/>
            <w:vAlign w:val="center"/>
          </w:tcPr>
          <w:p>
            <w:pPr>
              <w:autoSpaceDE w:val="0"/>
              <w:autoSpaceDN w:val="0"/>
              <w:adjustRightInd w:val="0"/>
              <w:snapToGrid w:val="0"/>
              <w:spacing w:line="280" w:lineRule="exact"/>
              <w:rPr>
                <w:rFonts w:ascii="Times New Roman" w:hAnsi="Times New Roman"/>
                <w:szCs w:val="21"/>
              </w:rPr>
            </w:pPr>
          </w:p>
        </w:tc>
        <w:tc>
          <w:tcPr>
            <w:tcW w:w="2268" w:type="dxa"/>
            <w:vAlign w:val="center"/>
          </w:tcPr>
          <w:p>
            <w:pPr>
              <w:autoSpaceDE w:val="0"/>
              <w:autoSpaceDN w:val="0"/>
              <w:adjustRightInd w:val="0"/>
              <w:snapToGrid w:val="0"/>
              <w:spacing w:line="280" w:lineRule="exact"/>
              <w:jc w:val="center"/>
              <w:rPr>
                <w:rFonts w:ascii="Times New Roman" w:hAnsi="Times New Roman"/>
                <w:szCs w:val="21"/>
              </w:rPr>
            </w:pPr>
          </w:p>
        </w:tc>
        <w:tc>
          <w:tcPr>
            <w:tcW w:w="2391" w:type="dxa"/>
            <w:vAlign w:val="center"/>
          </w:tcPr>
          <w:p>
            <w:pPr>
              <w:autoSpaceDE w:val="0"/>
              <w:autoSpaceDN w:val="0"/>
              <w:adjustRightInd w:val="0"/>
              <w:snapToGrid w:val="0"/>
              <w:spacing w:line="280" w:lineRule="exact"/>
              <w:jc w:val="center"/>
              <w:rPr>
                <w:rFonts w:ascii="Times New Roman" w:hAnsi="Times New Roman"/>
                <w:szCs w:val="21"/>
              </w:rPr>
            </w:pPr>
          </w:p>
        </w:tc>
        <w:tc>
          <w:tcPr>
            <w:tcW w:w="1928" w:type="dxa"/>
            <w:vAlign w:val="center"/>
          </w:tcPr>
          <w:p>
            <w:pPr>
              <w:autoSpaceDE w:val="0"/>
              <w:autoSpaceDN w:val="0"/>
              <w:adjustRightInd w:val="0"/>
              <w:snapToGrid w:val="0"/>
              <w:spacing w:line="28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41" w:type="dxa"/>
            <w:vAlign w:val="center"/>
          </w:tcPr>
          <w:p>
            <w:pPr>
              <w:autoSpaceDE w:val="0"/>
              <w:autoSpaceDN w:val="0"/>
              <w:adjustRightInd w:val="0"/>
              <w:snapToGrid w:val="0"/>
              <w:spacing w:line="280" w:lineRule="exact"/>
              <w:jc w:val="center"/>
              <w:rPr>
                <w:rFonts w:ascii="Times New Roman" w:hAnsi="Times New Roman"/>
                <w:spacing w:val="-25"/>
                <w:szCs w:val="20"/>
              </w:rPr>
            </w:pPr>
            <w:r>
              <w:rPr>
                <w:rFonts w:ascii="Times New Roman" w:hAnsi="Times New Roman"/>
                <w:spacing w:val="-25"/>
                <w:szCs w:val="20"/>
              </w:rPr>
              <w:t>5</w:t>
            </w:r>
          </w:p>
        </w:tc>
        <w:tc>
          <w:tcPr>
            <w:tcW w:w="5856" w:type="dxa"/>
            <w:vAlign w:val="center"/>
          </w:tcPr>
          <w:p>
            <w:pPr>
              <w:autoSpaceDE w:val="0"/>
              <w:autoSpaceDN w:val="0"/>
              <w:adjustRightInd w:val="0"/>
              <w:snapToGrid w:val="0"/>
              <w:spacing w:line="280" w:lineRule="exact"/>
              <w:rPr>
                <w:rFonts w:ascii="Times New Roman" w:hAnsi="Times New Roman"/>
                <w:szCs w:val="21"/>
              </w:rPr>
            </w:pPr>
          </w:p>
        </w:tc>
        <w:tc>
          <w:tcPr>
            <w:tcW w:w="2268" w:type="dxa"/>
            <w:vAlign w:val="center"/>
          </w:tcPr>
          <w:p>
            <w:pPr>
              <w:autoSpaceDE w:val="0"/>
              <w:autoSpaceDN w:val="0"/>
              <w:adjustRightInd w:val="0"/>
              <w:snapToGrid w:val="0"/>
              <w:spacing w:line="280" w:lineRule="exact"/>
              <w:jc w:val="center"/>
              <w:rPr>
                <w:rFonts w:ascii="Times New Roman" w:hAnsi="Times New Roman"/>
                <w:szCs w:val="21"/>
              </w:rPr>
            </w:pPr>
          </w:p>
        </w:tc>
        <w:tc>
          <w:tcPr>
            <w:tcW w:w="2391" w:type="dxa"/>
            <w:vAlign w:val="center"/>
          </w:tcPr>
          <w:p>
            <w:pPr>
              <w:autoSpaceDE w:val="0"/>
              <w:autoSpaceDN w:val="0"/>
              <w:adjustRightInd w:val="0"/>
              <w:snapToGrid w:val="0"/>
              <w:spacing w:line="280" w:lineRule="exact"/>
              <w:jc w:val="center"/>
              <w:rPr>
                <w:rFonts w:ascii="Times New Roman" w:hAnsi="Times New Roman"/>
                <w:szCs w:val="21"/>
              </w:rPr>
            </w:pPr>
          </w:p>
        </w:tc>
        <w:tc>
          <w:tcPr>
            <w:tcW w:w="1928" w:type="dxa"/>
            <w:vAlign w:val="center"/>
          </w:tcPr>
          <w:p>
            <w:pPr>
              <w:autoSpaceDE w:val="0"/>
              <w:autoSpaceDN w:val="0"/>
              <w:adjustRightInd w:val="0"/>
              <w:snapToGrid w:val="0"/>
              <w:spacing w:line="280" w:lineRule="exact"/>
              <w:jc w:val="center"/>
              <w:rPr>
                <w:rFonts w:ascii="Times New Roman" w:hAnsi="Times New Roman"/>
                <w:szCs w:val="21"/>
              </w:rPr>
            </w:pPr>
          </w:p>
        </w:tc>
      </w:tr>
    </w:tbl>
    <w:p>
      <w:pPr>
        <w:pStyle w:val="2"/>
        <w:adjustRightInd w:val="0"/>
        <w:spacing w:line="320" w:lineRule="exact"/>
        <w:ind w:firstLine="0" w:firstLineChars="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①上述论文论著用于推荐江苏省建设科技创新成果；②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pPr>
        <w:pStyle w:val="2"/>
        <w:adjustRightInd w:val="0"/>
        <w:spacing w:line="320" w:lineRule="exact"/>
        <w:ind w:right="960" w:firstLine="7168" w:firstLineChars="3400"/>
        <w:rPr>
          <w:rFonts w:ascii="Times New Roman" w:hAnsi="Times New Roman"/>
          <w:b/>
          <w:bCs/>
          <w:szCs w:val="28"/>
        </w:rPr>
      </w:pPr>
    </w:p>
    <w:p>
      <w:pPr>
        <w:pStyle w:val="2"/>
        <w:adjustRightInd w:val="0"/>
        <w:spacing w:line="320" w:lineRule="exact"/>
        <w:ind w:right="960" w:firstLine="7168" w:firstLineChars="3400"/>
        <w:rPr>
          <w:rFonts w:ascii="Times New Roman" w:hAnsi="Times New Roman"/>
          <w:b/>
          <w:bCs/>
          <w:szCs w:val="28"/>
        </w:rPr>
      </w:pPr>
      <w:r>
        <w:rPr>
          <w:rFonts w:ascii="Times New Roman" w:hAnsi="Times New Roman"/>
          <w:b/>
          <w:bCs/>
          <w:szCs w:val="28"/>
        </w:rPr>
        <w:t xml:space="preserve"> 第一完成人签名： </w:t>
      </w:r>
    </w:p>
    <w:p>
      <w:pPr>
        <w:widowControl/>
        <w:jc w:val="left"/>
        <w:rPr>
          <w:rFonts w:ascii="Times New Roman" w:hAnsi="Times New Roman"/>
          <w:sz w:val="28"/>
          <w:szCs w:val="28"/>
        </w:rPr>
      </w:pPr>
      <w:r>
        <w:rPr>
          <w:rFonts w:ascii="Times New Roman" w:hAnsi="Times New Roman"/>
          <w:sz w:val="28"/>
          <w:szCs w:val="28"/>
        </w:rPr>
        <w:br w:type="page"/>
      </w:r>
    </w:p>
    <w:p>
      <w:pPr>
        <w:spacing w:line="520" w:lineRule="atLeast"/>
        <w:rPr>
          <w:rFonts w:ascii="Times New Roman" w:hAnsi="Times New Roman"/>
          <w:sz w:val="28"/>
          <w:szCs w:val="28"/>
        </w:rPr>
      </w:pPr>
      <w:r>
        <w:rPr>
          <w:rFonts w:ascii="Times New Roman" w:hAnsi="Times New Roman"/>
          <w:sz w:val="28"/>
          <w:szCs w:val="28"/>
        </w:rPr>
        <w:t>2、代表性论文论著被他人引用的情况（不超过5篇）</w:t>
      </w:r>
    </w:p>
    <w:tbl>
      <w:tblPr>
        <w:tblStyle w:val="4"/>
        <w:tblW w:w="13338" w:type="dxa"/>
        <w:tblInd w:w="0" w:type="dxa"/>
        <w:tblLayout w:type="fixed"/>
        <w:tblCellMar>
          <w:top w:w="0" w:type="dxa"/>
          <w:left w:w="108" w:type="dxa"/>
          <w:bottom w:w="0" w:type="dxa"/>
          <w:right w:w="108" w:type="dxa"/>
        </w:tblCellMar>
      </w:tblPr>
      <w:tblGrid>
        <w:gridCol w:w="1066"/>
        <w:gridCol w:w="2683"/>
        <w:gridCol w:w="3891"/>
        <w:gridCol w:w="2954"/>
        <w:gridCol w:w="2744"/>
      </w:tblGrid>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序号</w:t>
            </w:r>
          </w:p>
        </w:tc>
        <w:tc>
          <w:tcPr>
            <w:tcW w:w="2683"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被引代表性论文论著题目</w:t>
            </w: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引文题目/作者</w:t>
            </w: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引文刊名/影响因子</w:t>
            </w: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引文发表时间（年月日）</w:t>
            </w:r>
          </w:p>
        </w:tc>
      </w:tr>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pacing w:val="-25"/>
                <w:sz w:val="24"/>
              </w:rPr>
            </w:pPr>
            <w:r>
              <w:rPr>
                <w:rFonts w:ascii="Times New Roman" w:hAnsi="Times New Roman"/>
                <w:spacing w:val="-25"/>
                <w:sz w:val="24"/>
              </w:rPr>
              <w:t>1</w:t>
            </w:r>
          </w:p>
        </w:tc>
        <w:tc>
          <w:tcPr>
            <w:tcW w:w="2683" w:type="dxa"/>
            <w:vMerge w:val="restart"/>
            <w:tcBorders>
              <w:top w:val="single" w:color="auto" w:sz="4" w:space="0"/>
              <w:left w:val="single" w:color="auto" w:sz="4" w:space="0"/>
              <w:right w:val="single" w:color="auto" w:sz="4" w:space="0"/>
            </w:tcBorders>
            <w:vAlign w:val="center"/>
          </w:tcPr>
          <w:p>
            <w:pPr>
              <w:adjustRightInd w:val="0"/>
              <w:spacing w:line="280" w:lineRule="exact"/>
              <w:rPr>
                <w:rFonts w:ascii="Times New Roman" w:hAnsi="Times New Roman"/>
                <w:spacing w:val="-25"/>
                <w:sz w:val="30"/>
                <w:szCs w:val="30"/>
              </w:rPr>
            </w:pPr>
            <w:r>
              <w:rPr>
                <w:rFonts w:hint="eastAsia" w:ascii="Times New Roman" w:hAnsi="Times New Roman"/>
                <w:szCs w:val="21"/>
              </w:rPr>
              <w:t>集中式PCR实验室设计与建造关键技术分析</w:t>
            </w: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zCs w:val="21"/>
              </w:rPr>
            </w:pPr>
            <w:r>
              <w:rPr>
                <w:rFonts w:hint="eastAsia" w:ascii="Times New Roman" w:hAnsi="Times New Roman"/>
                <w:szCs w:val="21"/>
              </w:rPr>
              <w:t>数码变容量直膨机组在洁净实验室中的应用/刘娟</w:t>
            </w: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中国医院建筑与装备/0.507</w:t>
            </w: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2022年2月15日</w:t>
            </w:r>
          </w:p>
        </w:tc>
      </w:tr>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pacing w:val="-25"/>
                <w:sz w:val="24"/>
              </w:rPr>
            </w:pPr>
            <w:r>
              <w:rPr>
                <w:rFonts w:ascii="Times New Roman" w:hAnsi="Times New Roman"/>
                <w:spacing w:val="-25"/>
                <w:sz w:val="24"/>
              </w:rPr>
              <w:t>2</w:t>
            </w:r>
          </w:p>
        </w:tc>
        <w:tc>
          <w:tcPr>
            <w:tcW w:w="2683" w:type="dxa"/>
            <w:vMerge w:val="continue"/>
            <w:tcBorders>
              <w:left w:val="single" w:color="auto" w:sz="4" w:space="0"/>
              <w:right w:val="single" w:color="auto" w:sz="4" w:space="0"/>
            </w:tcBorders>
            <w:vAlign w:val="center"/>
          </w:tcPr>
          <w:p>
            <w:pPr>
              <w:adjustRightInd w:val="0"/>
              <w:spacing w:line="280" w:lineRule="exact"/>
              <w:rPr>
                <w:rFonts w:ascii="Times New Roman" w:hAnsi="Times New Roman"/>
                <w:spacing w:val="-25"/>
                <w:sz w:val="30"/>
                <w:szCs w:val="30"/>
              </w:rPr>
            </w:pP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zCs w:val="21"/>
              </w:rPr>
            </w:pPr>
            <w:r>
              <w:rPr>
                <w:rFonts w:hint="eastAsia" w:ascii="Times New Roman" w:hAnsi="Times New Roman"/>
                <w:szCs w:val="21"/>
              </w:rPr>
              <w:t>核酸检测车空气环境系统设计/马成云、王欣宇、张薇、吕泓波</w:t>
            </w: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洁净与空调技术/0.429</w:t>
            </w: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2022年6月17日</w:t>
            </w:r>
          </w:p>
        </w:tc>
      </w:tr>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pacing w:val="-25"/>
                <w:sz w:val="24"/>
              </w:rPr>
            </w:pPr>
            <w:r>
              <w:rPr>
                <w:rFonts w:ascii="Times New Roman" w:hAnsi="Times New Roman"/>
                <w:spacing w:val="-25"/>
                <w:sz w:val="24"/>
              </w:rPr>
              <w:t>3</w:t>
            </w:r>
          </w:p>
        </w:tc>
        <w:tc>
          <w:tcPr>
            <w:tcW w:w="2683" w:type="dxa"/>
            <w:vMerge w:val="continue"/>
            <w:tcBorders>
              <w:left w:val="single" w:color="auto" w:sz="4" w:space="0"/>
              <w:right w:val="single" w:color="auto" w:sz="4" w:space="0"/>
            </w:tcBorders>
            <w:vAlign w:val="center"/>
          </w:tcPr>
          <w:p>
            <w:pPr>
              <w:adjustRightInd w:val="0"/>
              <w:spacing w:line="280" w:lineRule="exact"/>
              <w:rPr>
                <w:rFonts w:ascii="Times New Roman" w:hAnsi="Times New Roman"/>
                <w:spacing w:val="-25"/>
                <w:sz w:val="30"/>
                <w:szCs w:val="30"/>
              </w:rPr>
            </w:pP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zCs w:val="21"/>
              </w:rPr>
            </w:pPr>
            <w:r>
              <w:rPr>
                <w:rFonts w:hint="eastAsia" w:ascii="Times New Roman" w:hAnsi="Times New Roman"/>
                <w:szCs w:val="21"/>
              </w:rPr>
              <w:t>某核酸检测实验室空调通风系统的设计/马小金</w:t>
            </w: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洁净与空调技术/0.429</w:t>
            </w: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2023年3月17日</w:t>
            </w:r>
          </w:p>
        </w:tc>
      </w:tr>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pacing w:val="-25"/>
                <w:sz w:val="24"/>
              </w:rPr>
            </w:pPr>
            <w:r>
              <w:rPr>
                <w:rFonts w:ascii="Times New Roman" w:hAnsi="Times New Roman"/>
                <w:spacing w:val="-25"/>
                <w:sz w:val="24"/>
              </w:rPr>
              <w:t>4</w:t>
            </w:r>
          </w:p>
        </w:tc>
        <w:tc>
          <w:tcPr>
            <w:tcW w:w="2683" w:type="dxa"/>
            <w:vMerge w:val="continue"/>
            <w:tcBorders>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pacing w:val="-25"/>
                <w:sz w:val="30"/>
                <w:szCs w:val="30"/>
              </w:rPr>
            </w:pP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zCs w:val="21"/>
              </w:rPr>
            </w:pPr>
            <w:r>
              <w:rPr>
                <w:rFonts w:hint="eastAsia" w:ascii="Times New Roman" w:hAnsi="Times New Roman"/>
                <w:szCs w:val="21"/>
              </w:rPr>
              <w:t>PCR实验室运行中生物安全隐患分析及应对措施/梅澍、荆晓、何贵山</w:t>
            </w: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甘肃医药/0.184</w:t>
            </w: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r>
              <w:rPr>
                <w:rFonts w:hint="eastAsia" w:ascii="Times New Roman" w:hAnsi="Times New Roman"/>
                <w:szCs w:val="21"/>
              </w:rPr>
              <w:t>2022年8月15日</w:t>
            </w:r>
          </w:p>
        </w:tc>
      </w:tr>
      <w:tr>
        <w:tblPrEx>
          <w:tblCellMar>
            <w:top w:w="0" w:type="dxa"/>
            <w:left w:w="108" w:type="dxa"/>
            <w:bottom w:w="0" w:type="dxa"/>
            <w:right w:w="108" w:type="dxa"/>
          </w:tblCellMar>
        </w:tblPrEx>
        <w:trPr>
          <w:trHeight w:val="680" w:hRule="atLeast"/>
        </w:trPr>
        <w:tc>
          <w:tcPr>
            <w:tcW w:w="1066"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2683"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pacing w:val="-25"/>
                <w:sz w:val="30"/>
                <w:szCs w:val="30"/>
              </w:rPr>
            </w:pPr>
          </w:p>
        </w:tc>
        <w:tc>
          <w:tcPr>
            <w:tcW w:w="3891"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rPr>
                <w:rFonts w:ascii="Times New Roman" w:hAnsi="Times New Roman"/>
                <w:szCs w:val="21"/>
              </w:rPr>
            </w:pPr>
          </w:p>
        </w:tc>
        <w:tc>
          <w:tcPr>
            <w:tcW w:w="295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p>
        </w:tc>
        <w:tc>
          <w:tcPr>
            <w:tcW w:w="2744" w:type="dxa"/>
            <w:tcBorders>
              <w:top w:val="single" w:color="auto" w:sz="4" w:space="0"/>
              <w:left w:val="single" w:color="auto" w:sz="4" w:space="0"/>
              <w:bottom w:val="single" w:color="auto" w:sz="4" w:space="0"/>
              <w:right w:val="single" w:color="auto" w:sz="4" w:space="0"/>
            </w:tcBorders>
            <w:vAlign w:val="center"/>
          </w:tcPr>
          <w:p>
            <w:pPr>
              <w:adjustRightInd w:val="0"/>
              <w:spacing w:line="280" w:lineRule="exact"/>
              <w:jc w:val="center"/>
              <w:rPr>
                <w:rFonts w:ascii="Times New Roman" w:hAnsi="Times New Roman"/>
                <w:szCs w:val="21"/>
              </w:rPr>
            </w:pPr>
          </w:p>
        </w:tc>
      </w:tr>
    </w:tbl>
    <w:p>
      <w:pPr>
        <w:widowControl/>
        <w:spacing w:line="240" w:lineRule="exact"/>
        <w:jc w:val="left"/>
        <w:rPr>
          <w:rFonts w:ascii="Times New Roman" w:hAnsi="Times New Roman"/>
          <w:sz w:val="30"/>
          <w:szCs w:val="30"/>
        </w:rPr>
        <w:sectPr>
          <w:footerReference r:id="rId3" w:type="even"/>
          <w:type w:val="nextColumn"/>
          <w:pgSz w:w="16838" w:h="11906" w:orient="landscape"/>
          <w:pgMar w:top="1531" w:right="1985" w:bottom="1531" w:left="1814" w:header="720" w:footer="1474" w:gutter="0"/>
          <w:cols w:space="720" w:num="1"/>
        </w:sectPr>
      </w:pPr>
    </w:p>
    <w:p>
      <w:pPr>
        <w:pStyle w:val="2"/>
        <w:adjustRightInd w:val="0"/>
        <w:spacing w:line="320" w:lineRule="exact"/>
        <w:ind w:right="960" w:firstLine="7168" w:firstLineChars="3400"/>
        <w:rPr>
          <w:rFonts w:ascii="Times New Roman" w:hAnsi="Times New Roman" w:eastAsia="方正黑体_GBK"/>
          <w:sz w:val="30"/>
          <w:szCs w:val="30"/>
        </w:rPr>
      </w:pPr>
      <w:r>
        <w:rPr>
          <w:rFonts w:ascii="Times New Roman" w:hAnsi="Times New Roman"/>
          <w:b/>
          <w:bCs/>
          <w:szCs w:val="28"/>
        </w:rPr>
        <w:t xml:space="preserve">         </w:t>
      </w:r>
      <w:r>
        <w:rPr>
          <w:rFonts w:ascii="Times New Roman" w:hAnsi="Times New Roman" w:eastAsia="方正黑体_GBK"/>
          <w:sz w:val="30"/>
          <w:szCs w:val="30"/>
        </w:rPr>
        <w:t>七、主要知识产权目录</w:t>
      </w:r>
    </w:p>
    <w:p>
      <w:pPr>
        <w:spacing w:line="240" w:lineRule="exact"/>
        <w:rPr>
          <w:rFonts w:ascii="Times New Roman" w:hAnsi="Times New Roman" w:eastAsia="黑体"/>
          <w:sz w:val="32"/>
          <w:szCs w:val="20"/>
        </w:rPr>
      </w:pPr>
    </w:p>
    <w:tbl>
      <w:tblPr>
        <w:tblStyle w:val="4"/>
        <w:tblW w:w="986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77"/>
        <w:gridCol w:w="850"/>
        <w:gridCol w:w="1474"/>
        <w:gridCol w:w="964"/>
        <w:gridCol w:w="1070"/>
        <w:gridCol w:w="794"/>
        <w:gridCol w:w="964"/>
        <w:gridCol w:w="1361"/>
        <w:gridCol w:w="181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65" w:hRule="atLeast"/>
          <w:jc w:val="center"/>
        </w:trPr>
        <w:tc>
          <w:tcPr>
            <w:tcW w:w="577" w:type="dxa"/>
            <w:tcBorders>
              <w:top w:val="single" w:color="auto" w:sz="8" w:space="0"/>
            </w:tcBorders>
            <w:vAlign w:val="center"/>
          </w:tcPr>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序号</w:t>
            </w:r>
          </w:p>
        </w:tc>
        <w:tc>
          <w:tcPr>
            <w:tcW w:w="850" w:type="dxa"/>
            <w:tcBorders>
              <w:top w:val="single" w:color="auto" w:sz="8" w:space="0"/>
            </w:tcBorders>
            <w:vAlign w:val="center"/>
          </w:tcPr>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知识</w:t>
            </w:r>
          </w:p>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产权</w:t>
            </w:r>
          </w:p>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类别</w:t>
            </w:r>
          </w:p>
        </w:tc>
        <w:tc>
          <w:tcPr>
            <w:tcW w:w="1474" w:type="dxa"/>
            <w:tcBorders>
              <w:top w:val="single" w:color="auto" w:sz="8" w:space="0"/>
            </w:tcBorders>
            <w:vAlign w:val="center"/>
          </w:tcPr>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知识产权具体名称</w:t>
            </w:r>
          </w:p>
        </w:tc>
        <w:tc>
          <w:tcPr>
            <w:tcW w:w="964" w:type="dxa"/>
            <w:tcBorders>
              <w:top w:val="single" w:color="auto" w:sz="8" w:space="0"/>
            </w:tcBorders>
            <w:vAlign w:val="center"/>
          </w:tcPr>
          <w:p>
            <w:pPr>
              <w:adjustRightInd w:val="0"/>
              <w:spacing w:line="300" w:lineRule="exact"/>
              <w:jc w:val="center"/>
              <w:rPr>
                <w:rFonts w:ascii="Times New Roman" w:hAnsi="Times New Roman" w:eastAsia="方正黑体_GBK"/>
                <w:szCs w:val="21"/>
              </w:rPr>
            </w:pPr>
            <w:r>
              <w:rPr>
                <w:rFonts w:ascii="Times New Roman" w:hAnsi="Times New Roman" w:eastAsia="方正黑体_GBK"/>
                <w:szCs w:val="21"/>
              </w:rPr>
              <w:t>国家</w:t>
            </w:r>
          </w:p>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（地区）</w:t>
            </w:r>
          </w:p>
        </w:tc>
        <w:tc>
          <w:tcPr>
            <w:tcW w:w="1070" w:type="dxa"/>
            <w:tcBorders>
              <w:top w:val="single" w:color="auto" w:sz="8" w:space="0"/>
            </w:tcBorders>
            <w:vAlign w:val="center"/>
          </w:tcPr>
          <w:p>
            <w:pPr>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授权号</w:t>
            </w:r>
          </w:p>
        </w:tc>
        <w:tc>
          <w:tcPr>
            <w:tcW w:w="794" w:type="dxa"/>
            <w:tcBorders>
              <w:top w:val="single" w:color="auto" w:sz="8" w:space="0"/>
            </w:tcBorders>
            <w:vAlign w:val="center"/>
          </w:tcPr>
          <w:p>
            <w:pPr>
              <w:tabs>
                <w:tab w:val="center" w:pos="4153"/>
                <w:tab w:val="right" w:pos="8306"/>
              </w:tabs>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授权日期</w:t>
            </w:r>
          </w:p>
        </w:tc>
        <w:tc>
          <w:tcPr>
            <w:tcW w:w="964" w:type="dxa"/>
            <w:tcBorders>
              <w:top w:val="single" w:color="auto" w:sz="8" w:space="0"/>
            </w:tcBorders>
            <w:vAlign w:val="center"/>
          </w:tcPr>
          <w:p>
            <w:pPr>
              <w:tabs>
                <w:tab w:val="center" w:pos="4153"/>
                <w:tab w:val="right" w:pos="8306"/>
              </w:tabs>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证书编号</w:t>
            </w:r>
          </w:p>
        </w:tc>
        <w:tc>
          <w:tcPr>
            <w:tcW w:w="1361" w:type="dxa"/>
            <w:tcBorders>
              <w:top w:val="single" w:color="auto" w:sz="8" w:space="0"/>
            </w:tcBorders>
            <w:vAlign w:val="center"/>
          </w:tcPr>
          <w:p>
            <w:pPr>
              <w:tabs>
                <w:tab w:val="center" w:pos="4153"/>
                <w:tab w:val="right" w:pos="8306"/>
              </w:tabs>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权利人</w:t>
            </w:r>
          </w:p>
        </w:tc>
        <w:tc>
          <w:tcPr>
            <w:tcW w:w="1814" w:type="dxa"/>
            <w:tcBorders>
              <w:top w:val="single" w:color="auto" w:sz="8" w:space="0"/>
            </w:tcBorders>
            <w:vAlign w:val="center"/>
          </w:tcPr>
          <w:p>
            <w:pPr>
              <w:tabs>
                <w:tab w:val="center" w:pos="4153"/>
                <w:tab w:val="right" w:pos="8306"/>
              </w:tabs>
              <w:autoSpaceDE w:val="0"/>
              <w:autoSpaceDN w:val="0"/>
              <w:adjustRightInd w:val="0"/>
              <w:snapToGrid w:val="0"/>
              <w:spacing w:line="300" w:lineRule="exact"/>
              <w:jc w:val="center"/>
              <w:rPr>
                <w:rFonts w:ascii="Times New Roman" w:hAnsi="Times New Roman" w:eastAsia="方正黑体_GBK"/>
                <w:szCs w:val="21"/>
              </w:rPr>
            </w:pPr>
            <w:r>
              <w:rPr>
                <w:rFonts w:ascii="Times New Roman" w:hAnsi="Times New Roman" w:eastAsia="方正黑体_GBK"/>
                <w:szCs w:val="21"/>
              </w:rPr>
              <w:t>发明人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1</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一种核酸采样屋</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217631519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2022.</w:t>
            </w:r>
            <w:r>
              <w:rPr>
                <w:rFonts w:hint="eastAsia" w:ascii="Times New Roman" w:hAnsi="Times New Roman"/>
                <w:color w:val="000000"/>
              </w:rPr>
              <w:t>10</w:t>
            </w:r>
            <w:r>
              <w:rPr>
                <w:rFonts w:ascii="Times New Roman" w:hAnsi="Times New Roman"/>
                <w:color w:val="000000"/>
              </w:rPr>
              <w:t>.</w:t>
            </w:r>
            <w:r>
              <w:rPr>
                <w:rFonts w:hint="eastAsia" w:ascii="Times New Roman" w:hAnsi="Times New Roman"/>
                <w:color w:val="000000"/>
              </w:rPr>
              <w:t>21</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17611717</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杨九祥、陶刚、施金杰、袁云阳、程家磊、孙波、杨建建、孙东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2</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一种防护型核酸采集舱</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216866140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2022.07.01</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16848569</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中国电子系统工程第二建设有限公司、江苏中电创达建设装备科技有限公司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陶刚、施金杰、杨良生、吴建华、张维强、杨九祥、王兴旺、吴晓宇、卢军英、刘增超、袁云阳</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3</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发明</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一种自动定位定时消毒监控方法及系统</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113384729 B</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2022.0</w:t>
            </w:r>
            <w:r>
              <w:rPr>
                <w:rFonts w:hint="eastAsia" w:ascii="Times New Roman" w:hAnsi="Times New Roman"/>
                <w:color w:val="000000"/>
              </w:rPr>
              <w:t>4</w:t>
            </w:r>
            <w:r>
              <w:rPr>
                <w:rFonts w:ascii="Times New Roman" w:hAnsi="Times New Roman"/>
                <w:color w:val="000000"/>
              </w:rPr>
              <w:t>.2</w:t>
            </w:r>
            <w:r>
              <w:rPr>
                <w:rFonts w:hint="eastAsia" w:ascii="Times New Roman" w:hAnsi="Times New Roman"/>
                <w:color w:val="000000"/>
              </w:rPr>
              <w:t>2</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5100227</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青岛沃柏斯智能实验科技有限公司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张学亮、盖丽丽、巩汉志、李清慧、刘良、刘善标、崔飞飞、林朋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4</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一种PCR生物安全检测舱</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215291660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2021.12.24</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15258056</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青岛沃柏斯智能实验科技有限公司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张学亮、李建、赵颖慧、郑丽纳、马振凯、江国宪</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5</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一种带有生物安全柜的高等级生物安全实验室排风系统</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212370788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2021.01.19</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12354903</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杨九祥、梁忠峥、徐义强、赵广礼、施金杰、高晶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6</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一种用于高生物安全风险车间的压差计安装结构</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215178330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2021.12.14</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15123738</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刘允杰、杨九祥、尚剑、赵钢、樊海涛、赵兴平、蒋华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7</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实用新型</w:t>
            </w:r>
          </w:p>
        </w:tc>
        <w:tc>
          <w:tcPr>
            <w:tcW w:w="147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一种生物安全动物实验室智能化过氧化氢远距离消毒管路系统</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215840625 U</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2022.02.18</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15836331</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杨九祥、杨建建、陶刚、孙东、赵广礼、彭昇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577" w:type="dxa"/>
            <w:vAlign w:val="center"/>
          </w:tcPr>
          <w:p>
            <w:pPr>
              <w:autoSpaceDE w:val="0"/>
              <w:autoSpaceDN w:val="0"/>
              <w:adjustRightInd w:val="0"/>
              <w:snapToGrid w:val="0"/>
              <w:jc w:val="center"/>
              <w:rPr>
                <w:rFonts w:ascii="Times New Roman" w:hAnsi="Times New Roman" w:eastAsia="方正仿宋_GBK"/>
                <w:sz w:val="24"/>
              </w:rPr>
            </w:pPr>
            <w:r>
              <w:rPr>
                <w:rFonts w:ascii="Times New Roman" w:hAnsi="Times New Roman"/>
                <w:sz w:val="24"/>
              </w:rPr>
              <w:t>8</w:t>
            </w:r>
          </w:p>
        </w:tc>
        <w:tc>
          <w:tcPr>
            <w:tcW w:w="850"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外观设计</w:t>
            </w:r>
          </w:p>
        </w:tc>
        <w:tc>
          <w:tcPr>
            <w:tcW w:w="147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核酸采样屋</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中国</w:t>
            </w:r>
          </w:p>
        </w:tc>
        <w:tc>
          <w:tcPr>
            <w:tcW w:w="1070" w:type="dxa"/>
            <w:vAlign w:val="center"/>
          </w:tcPr>
          <w:p>
            <w:pPr>
              <w:ind w:left="-109" w:leftChars="-52" w:right="-107" w:rightChars="-51"/>
              <w:jc w:val="center"/>
              <w:rPr>
                <w:rFonts w:ascii="Times New Roman" w:hAnsi="Times New Roman"/>
                <w:color w:val="000000"/>
              </w:rPr>
            </w:pPr>
            <w:r>
              <w:rPr>
                <w:rFonts w:ascii="Times New Roman" w:hAnsi="Times New Roman"/>
                <w:color w:val="000000"/>
              </w:rPr>
              <w:t>CN 307626259 S</w:t>
            </w:r>
          </w:p>
        </w:tc>
        <w:tc>
          <w:tcPr>
            <w:tcW w:w="794" w:type="dxa"/>
            <w:vAlign w:val="center"/>
          </w:tcPr>
          <w:p>
            <w:pPr>
              <w:ind w:left="-109" w:leftChars="-52" w:right="-107" w:rightChars="-51"/>
              <w:jc w:val="center"/>
              <w:rPr>
                <w:rFonts w:ascii="Times New Roman" w:hAnsi="Times New Roman"/>
                <w:color w:val="000000"/>
              </w:rPr>
            </w:pPr>
            <w:r>
              <w:rPr>
                <w:rFonts w:ascii="Times New Roman" w:hAnsi="Times New Roman"/>
                <w:color w:val="000000"/>
              </w:rPr>
              <w:t>2022.</w:t>
            </w:r>
            <w:r>
              <w:rPr>
                <w:rFonts w:hint="eastAsia" w:ascii="Times New Roman" w:hAnsi="Times New Roman"/>
                <w:color w:val="000000"/>
              </w:rPr>
              <w:t>10</w:t>
            </w:r>
            <w:r>
              <w:rPr>
                <w:rFonts w:ascii="Times New Roman" w:hAnsi="Times New Roman"/>
                <w:color w:val="000000"/>
              </w:rPr>
              <w:t>.</w:t>
            </w:r>
            <w:r>
              <w:rPr>
                <w:rFonts w:hint="eastAsia" w:ascii="Times New Roman" w:hAnsi="Times New Roman"/>
                <w:color w:val="000000"/>
              </w:rPr>
              <w:t>28</w:t>
            </w:r>
          </w:p>
        </w:tc>
        <w:tc>
          <w:tcPr>
            <w:tcW w:w="96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7646122</w:t>
            </w:r>
          </w:p>
        </w:tc>
        <w:tc>
          <w:tcPr>
            <w:tcW w:w="1361" w:type="dxa"/>
            <w:vAlign w:val="center"/>
          </w:tcPr>
          <w:p>
            <w:pPr>
              <w:ind w:left="-109" w:leftChars="-52" w:right="-107" w:rightChars="-51"/>
              <w:jc w:val="center"/>
              <w:rPr>
                <w:rFonts w:ascii="Times New Roman" w:hAnsi="Times New Roman"/>
                <w:color w:val="000000"/>
              </w:rPr>
            </w:pPr>
            <w:r>
              <w:rPr>
                <w:rFonts w:ascii="Times New Roman" w:hAnsi="Times New Roman"/>
                <w:color w:val="000000"/>
              </w:rPr>
              <w:t>中国电子系统工程第二建设有限公司</w:t>
            </w:r>
          </w:p>
        </w:tc>
        <w:tc>
          <w:tcPr>
            <w:tcW w:w="1814" w:type="dxa"/>
            <w:vAlign w:val="center"/>
          </w:tcPr>
          <w:p>
            <w:pPr>
              <w:ind w:left="-109" w:leftChars="-52" w:right="-107" w:rightChars="-51"/>
              <w:jc w:val="center"/>
              <w:rPr>
                <w:rFonts w:ascii="Times New Roman" w:hAnsi="Times New Roman"/>
                <w:color w:val="000000"/>
              </w:rPr>
            </w:pPr>
            <w:r>
              <w:rPr>
                <w:rFonts w:hint="eastAsia" w:ascii="Times New Roman" w:hAnsi="Times New Roman"/>
                <w:color w:val="000000"/>
              </w:rPr>
              <w:t>杨良生、张维强、杨九祥、陶刚、施金杰、程万里、袁云阳</w:t>
            </w:r>
          </w:p>
        </w:tc>
      </w:tr>
    </w:tbl>
    <w:p>
      <w:pPr>
        <w:adjustRightInd w:val="0"/>
        <w:spacing w:line="300" w:lineRule="exact"/>
        <w:rPr>
          <w:rFonts w:ascii="Times New Roman" w:hAnsi="Times New Roman" w:eastAsia="方正仿宋_GBK"/>
          <w:sz w:val="32"/>
          <w:szCs w:val="20"/>
        </w:rPr>
      </w:pPr>
    </w:p>
    <w:p>
      <w:pPr>
        <w:adjustRightInd w:val="0"/>
        <w:spacing w:line="300" w:lineRule="exact"/>
        <w:rPr>
          <w:rFonts w:ascii="Times New Roman" w:hAnsi="Times New Roman"/>
          <w:szCs w:val="21"/>
        </w:rPr>
      </w:pPr>
    </w:p>
    <w:p>
      <w:pPr>
        <w:pStyle w:val="2"/>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pPr>
        <w:pStyle w:val="2"/>
        <w:adjustRightInd w:val="0"/>
        <w:spacing w:line="320" w:lineRule="exact"/>
        <w:ind w:firstLine="422"/>
        <w:rPr>
          <w:rFonts w:ascii="Times New Roman" w:hAnsi="Times New Roman"/>
          <w:b/>
          <w:bCs/>
          <w:color w:val="000000"/>
          <w:szCs w:val="28"/>
        </w:rPr>
      </w:pPr>
    </w:p>
    <w:p>
      <w:pPr>
        <w:pStyle w:val="2"/>
        <w:adjustRightInd w:val="0"/>
        <w:spacing w:line="320" w:lineRule="exact"/>
        <w:ind w:firstLine="422"/>
        <w:jc w:val="center"/>
        <w:rPr>
          <w:rFonts w:ascii="Times New Roman" w:hAnsi="Times New Roman" w:eastAsia="方正黑体_GBK"/>
          <w:sz w:val="30"/>
          <w:szCs w:val="30"/>
        </w:rPr>
      </w:pPr>
      <w:r>
        <w:rPr>
          <w:rFonts w:ascii="Times New Roman" w:hAnsi="Times New Roman"/>
          <w:b/>
        </w:rPr>
        <w:t>第一完成人签名：</w:t>
      </w:r>
      <w:r>
        <w:rPr>
          <w:rFonts w:ascii="Times New Roman" w:hAnsi="Times New Roman"/>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杨九祥</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1982年9月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color w:val="000000"/>
                <w:szCs w:val="21"/>
              </w:rPr>
              <w:t>研究所所长</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13771508062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yangjiuxiang@cese2.com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13771508062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jc w:val="center"/>
              <w:rPr>
                <w:rFonts w:ascii="Times New Roman" w:hAnsi="Times New Roman"/>
                <w:color w:val="000000"/>
                <w:szCs w:val="21"/>
              </w:rPr>
            </w:pPr>
            <w:r>
              <w:rPr>
                <w:rFonts w:ascii="Times New Roman" w:hAnsi="Times New Roman"/>
                <w:color w:val="000000"/>
                <w:szCs w:val="21"/>
              </w:rPr>
              <w:t>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rPr>
                <w:rFonts w:ascii="Times New Roman" w:hAnsi="Times New Roman"/>
                <w:color w:val="000000"/>
                <w:szCs w:val="21"/>
              </w:rPr>
            </w:pPr>
            <w:r>
              <w:rPr>
                <w:rFonts w:hint="eastAsia" w:ascii="Times New Roman" w:hAnsi="Times New Roman"/>
                <w:color w:val="000000"/>
                <w:szCs w:val="21"/>
              </w:rPr>
              <w:t>1、2021年度华夏建设科学技术特等奖</w:t>
            </w:r>
          </w:p>
          <w:p>
            <w:pPr>
              <w:autoSpaceDE w:val="0"/>
              <w:autoSpaceDN w:val="0"/>
              <w:adjustRightInd w:val="0"/>
              <w:spacing w:line="400" w:lineRule="exact"/>
              <w:rPr>
                <w:rFonts w:ascii="Times New Roman" w:hAnsi="Times New Roman"/>
                <w:szCs w:val="21"/>
              </w:rPr>
            </w:pPr>
            <w:r>
              <w:rPr>
                <w:rFonts w:hint="eastAsia" w:ascii="Times New Roman" w:hAnsi="Times New Roman"/>
                <w:color w:val="000000"/>
                <w:szCs w:val="21"/>
              </w:rPr>
              <w:t>2、2022年度江苏省安装行业协会科技创新奖一等奖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项目开发的总负责人，统筹、主持应急医疗设施关键技术的开发，参与应急医疗相关标准研制，创新了模块化防护型移动核酸采集舱建设关键技术、新冠核酸PCR检测设施建设关键技术、模块化应急医疗隔离观察中心建设关键技术、模块化方舱医院建设关键技术、过氧化氢远距离管道消毒技术，形成核心关键技术及标准体系，推进了应急医疗设施关键技术的研究与应用，推动了该技术在行业中的发展。</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陶刚</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1983年12月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研究室主任</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18032698603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taogang@cese2.com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color w:val="000000"/>
                <w:szCs w:val="21"/>
              </w:rPr>
              <w:t>18032698603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硕士</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针对PCR实验检测设施及其环境控制以及集中隔离观察设施的建设，重点研发了一套包括移动式PCR实验舱、高效能新冠核酸PCR车间在内的安全高效的PCR检测设施建设技术方案，以及隔离观察中心零距离隔离管控技术。</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施金杰</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1989年12月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研究室主管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18662812887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shijinjie@cese2.com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18662812887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在核酸采集设施的建造关键技术，正压双重防护、气溶胶快速收集、舱体深度灭菌及标本低温存储等技术上做出贡献，形成一套可为工作人员提供舒适安全、高效便捷的工作空间的技术方案。</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杨建建</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1989年2月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研究室主任</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15852515691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yangjianjian@cese2.com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15852515691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主要研究了过氧化氢远距离消毒管路系统设计、VHP浓度快速监测技术。创新性的提出了一种新型的过氧化氢远距离管道消毒技术，具有高效、可重复的消毒效果，极大地降低了安全风险。</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杨良生</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1973年10月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总经理</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18551059460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yangliangsheng@cese2.com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18551059460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正高级工程师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1、2021年度华夏建设科学技术特等奖</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2、2022年度江苏省安装行业协会科技创新奖一等奖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整体统筹协调技术资源与资金等支持,统筹技术开发进展、分配研究任务，协调外部资源，推动新冠疫情防控应急设施建造项目的承建和技术实施。</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吴建华</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1979年9月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bookmarkStart w:id="0" w:name="_GoBack"/>
            <w:bookmarkEnd w:id="0"/>
            <w:r>
              <w:rPr>
                <w:rFonts w:hint="eastAsia" w:ascii="Times New Roman" w:hAnsi="Times New Roman"/>
                <w:szCs w:val="21"/>
              </w:rPr>
              <w:t>总工程师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13584188869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wujianhua@cese2.com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13584188869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正高级工程师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1、2020年江苏省环境保护科学技术二等奖；</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2、2020-2021年度中国安装协会科学技术进步奖二等奖；</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3、2021-2022年中国安装协会科学技术进步奖二等奖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统筹技术开发进展、分配研究任务，协调外部资源，推动新冠疫情防控应急设施建造项目的承建和技术实施。</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张学亮</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1982年4月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山东青岛</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总经理</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hint="eastAsia"/>
              </w:rPr>
              <w:t>青岛沃柏斯智能实验科技有限公司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15725328888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hint="eastAsia"/>
              </w:rPr>
              <w:t>山东省青岛市城阳区祥阳路106号5号楼</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hint="eastAsia"/>
              </w:rPr>
              <w:t>266000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zhangxl@wobosi.com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15725328888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助理工程师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大专</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1、2021年河北省科学技术进步奖一等奖</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2、2022年度江苏省安装行业协会科技创新奖一等奖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主要研究了二分区移动式PCR实验舱和模块化医学隔离观察中心等新冠疫情应急医疗设施关键技术，满足了应急医疗的时效性需求。</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李金平</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1980年5月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副总经理</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18510221199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lijinping@cese2.com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18510221199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26"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1、2021-2022年度中国安装工程优质奖（中国安装之星）</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2、2021年度中国安装协会科技进步二等奖</w:t>
            </w:r>
          </w:p>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3、2020年中国安装协会科技进步二等奖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对模块化防护型移动核酸采集舱建设、模块化方舱医院建设关键技术的研究做出贡献，负责相关设施项目实施，产品制造技术质量审核。</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曹顺</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1989年9月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研究所所长</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15190308829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caoshun@cese2.com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15190308829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对模块化防护型移动核酸采集舱建设、模块化应急医疗隔离观察中心建设关键技术的研究做出贡献，负责项目BIM模型设计，三维效果图制作。</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孙波</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1981年2月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研究室主管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17551003888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sunbo@cese2.com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17551003888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高级工程师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对模块化应急医疗隔离观察中心建设、模块化方舱医院建设关键技术的研究做出贡献，配合污染防扩散技术研究及相关设施电气部分内容。</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程家磊</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1992年6月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研究室专员</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18855583578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chengjialei@cese2.com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18855583578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助理工程师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硕士</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autoSpaceDE w:val="0"/>
              <w:autoSpaceDN w:val="0"/>
              <w:adjustRightInd w:val="0"/>
              <w:spacing w:line="400" w:lineRule="exact"/>
              <w:jc w:val="left"/>
              <w:rPr>
                <w:rFonts w:ascii="Times New Roman" w:hAnsi="Times New Roman"/>
                <w:szCs w:val="21"/>
              </w:rPr>
            </w:pPr>
            <w:r>
              <w:rPr>
                <w:rFonts w:hint="eastAsia" w:ascii="Times New Roman" w:hAnsi="Times New Roman"/>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对模块化防护型移动核酸采集舱建设关键技术做出贡献，配合排风无害化处理技术及相关设施暖通部分内容研究。</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pStyle w:val="2"/>
        <w:adjustRightInd w:val="0"/>
        <w:spacing w:line="320" w:lineRule="exact"/>
        <w:ind w:firstLine="600"/>
        <w:jc w:val="center"/>
        <w:rPr>
          <w:rFonts w:ascii="Times New Roman" w:hAnsi="Times New Roman" w:eastAsia="方正黑体_GBK"/>
          <w:sz w:val="30"/>
          <w:szCs w:val="30"/>
        </w:rPr>
      </w:pPr>
      <w:r>
        <w:rPr>
          <w:rFonts w:ascii="Times New Roman" w:hAnsi="Times New Roman" w:eastAsia="方正黑体_GBK"/>
          <w:sz w:val="30"/>
          <w:szCs w:val="30"/>
        </w:rPr>
        <w:br w:type="page"/>
      </w:r>
      <w:r>
        <w:rPr>
          <w:rFonts w:ascii="Times New Roman" w:hAnsi="Times New Roman" w:eastAsia="方正黑体_GBK"/>
          <w:sz w:val="30"/>
          <w:szCs w:val="30"/>
        </w:rPr>
        <w:t>八、完成人情况</w:t>
      </w:r>
    </w:p>
    <w:p>
      <w:pPr>
        <w:pStyle w:val="2"/>
        <w:adjustRightInd w:val="0"/>
        <w:spacing w:line="240" w:lineRule="exact"/>
        <w:ind w:firstLine="600"/>
        <w:jc w:val="center"/>
        <w:rPr>
          <w:rFonts w:ascii="Times New Roman" w:hAnsi="Times New Roman" w:eastAsia="黑体"/>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570"/>
        <w:gridCol w:w="1463"/>
        <w:gridCol w:w="1463"/>
        <w:gridCol w:w="446"/>
        <w:gridCol w:w="1017"/>
        <w:gridCol w:w="1463"/>
        <w:gridCol w:w="14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姓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孙东</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性  别</w:t>
            </w:r>
          </w:p>
        </w:tc>
        <w:tc>
          <w:tcPr>
            <w:tcW w:w="146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男</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排    名</w:t>
            </w:r>
          </w:p>
        </w:tc>
        <w:tc>
          <w:tcPr>
            <w:tcW w:w="1463"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1989年12月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民    族</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汉族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国    籍</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居 住 地</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江苏无锡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研究室主管</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否</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中国电子系统工程第二建设有限公司</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13764491776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pPr>
              <w:jc w:val="center"/>
              <w:rPr>
                <w:rFonts w:ascii="Times New Roman" w:hAnsi="Times New Roman"/>
                <w:color w:val="000000"/>
                <w:szCs w:val="21"/>
              </w:rPr>
            </w:pPr>
            <w:r>
              <w:rPr>
                <w:rFonts w:ascii="Times New Roman" w:hAnsi="Times New Roman"/>
                <w:color w:val="000000"/>
                <w:szCs w:val="21"/>
              </w:rPr>
              <w:t>江苏省无锡市新吴区具区路88号</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pPr>
              <w:jc w:val="center"/>
              <w:rPr>
                <w:rFonts w:ascii="Times New Roman" w:hAnsi="Times New Roman"/>
                <w:color w:val="000000"/>
                <w:szCs w:val="21"/>
              </w:rPr>
            </w:pPr>
            <w:r>
              <w:rPr>
                <w:rFonts w:ascii="Times New Roman" w:hAnsi="Times New Roman"/>
                <w:color w:val="000000"/>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462"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sundong@cese2.com</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13764491776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助理工程师</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本科</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4" w:hRule="atLeast"/>
        </w:trPr>
        <w:tc>
          <w:tcPr>
            <w:tcW w:w="2925" w:type="dxa"/>
            <w:gridSpan w:val="3"/>
            <w:vAlign w:val="center"/>
          </w:tcPr>
          <w:p>
            <w:pPr>
              <w:autoSpaceDE w:val="0"/>
              <w:autoSpaceDN w:val="0"/>
              <w:adjustRightInd w:val="0"/>
              <w:spacing w:line="400" w:lineRule="exact"/>
              <w:ind w:firstLine="630" w:firstLineChars="300"/>
              <w:rPr>
                <w:rFonts w:ascii="Times New Roman" w:hAnsi="Times New Roman"/>
                <w:szCs w:val="21"/>
              </w:rPr>
            </w:pPr>
            <w:r>
              <w:rPr>
                <w:rFonts w:ascii="Times New Roman" w:hAnsi="Times New Roman"/>
                <w:szCs w:val="21"/>
              </w:rPr>
              <w:t>曾获科技奖励情况</w:t>
            </w:r>
          </w:p>
        </w:tc>
        <w:tc>
          <w:tcPr>
            <w:tcW w:w="5852" w:type="dxa"/>
            <w:gridSpan w:val="5"/>
            <w:vAlign w:val="center"/>
          </w:tcPr>
          <w:p>
            <w:pPr>
              <w:rPr>
                <w:rFonts w:ascii="Times New Roman" w:hAnsi="Times New Roman"/>
                <w:color w:val="000000"/>
                <w:szCs w:val="21"/>
              </w:rPr>
            </w:pPr>
            <w:r>
              <w:rPr>
                <w:rFonts w:hint="eastAsia" w:ascii="Times New Roman" w:hAnsi="Times New Roman"/>
                <w:color w:val="000000"/>
                <w:szCs w:val="21"/>
              </w:rPr>
              <w:t>1、2022年度江苏省安装行业协会科技创新奖一等奖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925" w:type="dxa"/>
            <w:gridSpan w:val="3"/>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2021-03-01 至 2022-12-31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0" w:hRule="atLeast"/>
        </w:trPr>
        <w:tc>
          <w:tcPr>
            <w:tcW w:w="8777" w:type="dxa"/>
            <w:gridSpan w:val="8"/>
          </w:tcPr>
          <w:p>
            <w:pPr>
              <w:adjustRightInd w:val="0"/>
              <w:spacing w:line="400" w:lineRule="exact"/>
              <w:rPr>
                <w:rFonts w:ascii="Times New Roman" w:hAnsi="Times New Roman"/>
                <w:szCs w:val="21"/>
              </w:rPr>
            </w:pPr>
            <w:r>
              <w:rPr>
                <w:rFonts w:ascii="Times New Roman" w:hAnsi="Times New Roman"/>
                <w:szCs w:val="21"/>
              </w:rPr>
              <w:t>主要贡献：（限300字）</w:t>
            </w:r>
          </w:p>
          <w:p>
            <w:pPr>
              <w:adjustRightInd w:val="0"/>
              <w:spacing w:line="400" w:lineRule="exact"/>
              <w:ind w:firstLine="420" w:firstLineChars="200"/>
              <w:rPr>
                <w:rFonts w:ascii="Times New Roman" w:hAnsi="Times New Roman"/>
                <w:szCs w:val="21"/>
              </w:rPr>
            </w:pPr>
            <w:r>
              <w:rPr>
                <w:rFonts w:hint="eastAsia" w:ascii="Times New Roman" w:hAnsi="Times New Roman"/>
                <w:szCs w:val="21"/>
              </w:rPr>
              <w:t>对过氧化氢远距离消毒管路系统设计、VHP浓度快速监测技术等方面的研究做出贡献，并撰写相关资料。</w:t>
            </w:r>
          </w:p>
          <w:p>
            <w:pPr>
              <w:autoSpaceDE w:val="0"/>
              <w:autoSpaceDN w:val="0"/>
              <w:adjustRightInd w:val="0"/>
              <w:spacing w:line="400" w:lineRule="exact"/>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70" w:hRule="atLeast"/>
        </w:trPr>
        <w:tc>
          <w:tcPr>
            <w:tcW w:w="892" w:type="dxa"/>
            <w:vMerge w:val="restart"/>
            <w:vAlign w:val="center"/>
          </w:tcPr>
          <w:p>
            <w:pPr>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42" w:hRule="atLeast"/>
        </w:trPr>
        <w:tc>
          <w:tcPr>
            <w:tcW w:w="892" w:type="dxa"/>
            <w:vMerge w:val="continue"/>
            <w:tcBorders>
              <w:bottom w:val="single" w:color="auto" w:sz="8" w:space="0"/>
            </w:tcBorders>
            <w:vAlign w:val="center"/>
          </w:tcPr>
          <w:p>
            <w:pPr>
              <w:jc w:val="left"/>
              <w:rPr>
                <w:rFonts w:ascii="Times New Roman" w:hAnsi="Times New Roman"/>
                <w:szCs w:val="21"/>
              </w:rPr>
            </w:pPr>
          </w:p>
        </w:tc>
        <w:tc>
          <w:tcPr>
            <w:tcW w:w="3942" w:type="dxa"/>
            <w:gridSpan w:val="4"/>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本人签名：</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firstLine="1785" w:firstLineChars="850"/>
              <w:rPr>
                <w:rFonts w:ascii="Times New Roman" w:hAnsi="Times New Roman"/>
                <w:szCs w:val="21"/>
              </w:rPr>
            </w:pPr>
            <w:r>
              <w:rPr>
                <w:rFonts w:ascii="Times New Roman" w:hAnsi="Times New Roman"/>
                <w:szCs w:val="21"/>
              </w:rPr>
              <w:t>年    月    日</w:t>
            </w:r>
          </w:p>
        </w:tc>
        <w:tc>
          <w:tcPr>
            <w:tcW w:w="3943" w:type="dxa"/>
            <w:gridSpan w:val="3"/>
            <w:tcBorders>
              <w:bottom w:val="single" w:color="auto" w:sz="8" w:space="0"/>
            </w:tcBorders>
          </w:tcPr>
          <w:p>
            <w:pPr>
              <w:adjustRightInd w:val="0"/>
              <w:spacing w:line="400" w:lineRule="exact"/>
              <w:ind w:left="302" w:leftChars="144" w:firstLine="840" w:firstLineChars="400"/>
              <w:rPr>
                <w:rFonts w:ascii="Times New Roman" w:hAnsi="Times New Roman"/>
                <w:szCs w:val="21"/>
              </w:rPr>
            </w:pPr>
            <w:r>
              <w:rPr>
                <w:rFonts w:ascii="Times New Roman" w:hAnsi="Times New Roman"/>
                <w:szCs w:val="21"/>
              </w:rPr>
              <w:t>单位（公章）：</w:t>
            </w:r>
          </w:p>
          <w:p>
            <w:pPr>
              <w:adjustRightInd w:val="0"/>
              <w:spacing w:line="400" w:lineRule="exact"/>
              <w:ind w:left="302" w:leftChars="144" w:firstLine="840" w:firstLineChars="400"/>
              <w:rPr>
                <w:rFonts w:ascii="Times New Roman" w:hAnsi="Times New Roman"/>
                <w:szCs w:val="21"/>
              </w:rPr>
            </w:pPr>
          </w:p>
          <w:p>
            <w:pPr>
              <w:autoSpaceDE w:val="0"/>
              <w:autoSpaceDN w:val="0"/>
              <w:adjustRightInd w:val="0"/>
              <w:snapToGrid w:val="0"/>
              <w:spacing w:line="400" w:lineRule="exact"/>
              <w:ind w:left="559" w:leftChars="266" w:firstLine="945" w:firstLineChars="450"/>
              <w:rPr>
                <w:rFonts w:ascii="Times New Roman" w:hAnsi="Times New Roman"/>
                <w:szCs w:val="21"/>
              </w:rPr>
            </w:pPr>
            <w:r>
              <w:rPr>
                <w:rFonts w:ascii="Times New Roman" w:hAnsi="Times New Roman"/>
                <w:szCs w:val="21"/>
              </w:rPr>
              <w:t>年    月    日</w:t>
            </w:r>
          </w:p>
        </w:tc>
      </w:tr>
    </w:tbl>
    <w:p>
      <w:pPr>
        <w:rPr>
          <w:rFonts w:ascii="Times New Roman" w:hAnsi="Times New Roman" w:eastAsia="方正黑体_GBK"/>
          <w:sz w:val="30"/>
          <w:szCs w:val="30"/>
        </w:rPr>
      </w:pPr>
      <w:r>
        <w:rPr>
          <w:rFonts w:ascii="Times New Roman" w:hAnsi="Times New Roman" w:eastAsia="方正黑体_GBK"/>
          <w:sz w:val="30"/>
          <w:szCs w:val="30"/>
        </w:rPr>
        <w:br w:type="page"/>
      </w:r>
    </w:p>
    <w:p>
      <w:pPr>
        <w:jc w:val="center"/>
        <w:rPr>
          <w:rFonts w:ascii="Times New Roman" w:hAnsi="Times New Roman" w:eastAsia="方正黑体_GBK"/>
          <w:sz w:val="30"/>
          <w:szCs w:val="30"/>
        </w:rPr>
      </w:pPr>
      <w:r>
        <w:rPr>
          <w:rFonts w:ascii="Times New Roman" w:hAnsi="Times New Roman" w:eastAsia="方正黑体_GBK"/>
          <w:sz w:val="30"/>
          <w:szCs w:val="30"/>
        </w:rPr>
        <w:t>九、完成单位情况</w:t>
      </w:r>
    </w:p>
    <w:p>
      <w:pPr>
        <w:rPr>
          <w:rFonts w:ascii="Times New Roman" w:hAnsi="Times New Roman"/>
          <w:sz w:val="28"/>
          <w:szCs w:val="28"/>
        </w:rPr>
      </w:pPr>
    </w:p>
    <w:p>
      <w:pPr>
        <w:rPr>
          <w:rFonts w:ascii="Times New Roman" w:hAnsi="Times New Roman"/>
          <w:sz w:val="28"/>
          <w:szCs w:val="28"/>
        </w:rPr>
      </w:pPr>
      <w:r>
        <w:rPr>
          <w:rFonts w:ascii="Times New Roman" w:hAnsi="Times New Roman"/>
          <w:sz w:val="28"/>
          <w:szCs w:val="28"/>
        </w:rPr>
        <w:t>1、</w:t>
      </w:r>
      <w:r>
        <w:rPr>
          <w:rFonts w:ascii="Times New Roman" w:hAnsi="Times New Roman" w:eastAsia="方正楷体_GBK"/>
          <w:sz w:val="28"/>
          <w:szCs w:val="28"/>
        </w:rPr>
        <w:t>第一完成单位情况</w:t>
      </w: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1"/>
        <w:gridCol w:w="552"/>
        <w:gridCol w:w="1466"/>
        <w:gridCol w:w="1293"/>
        <w:gridCol w:w="1576"/>
        <w:gridCol w:w="1260"/>
        <w:gridCol w:w="173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1443" w:type="dxa"/>
            <w:gridSpan w:val="2"/>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4335" w:type="dxa"/>
            <w:gridSpan w:val="3"/>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中国电子系统工程第二建设有限公司</w:t>
            </w:r>
          </w:p>
        </w:tc>
        <w:tc>
          <w:tcPr>
            <w:tcW w:w="1260" w:type="dxa"/>
            <w:tcBorders>
              <w:top w:val="single" w:color="auto" w:sz="8" w:space="0"/>
            </w:tcBorders>
            <w:vAlign w:val="center"/>
          </w:tcPr>
          <w:p>
            <w:pPr>
              <w:autoSpaceDE w:val="0"/>
              <w:autoSpaceDN w:val="0"/>
              <w:adjustRightInd w:val="0"/>
              <w:jc w:val="center"/>
              <w:rPr>
                <w:rFonts w:ascii="Times New Roman" w:hAnsi="Times New Roman"/>
                <w:szCs w:val="21"/>
              </w:rPr>
            </w:pPr>
            <w:r>
              <w:rPr>
                <w:rFonts w:ascii="Times New Roman" w:hAnsi="Times New Roman"/>
                <w:szCs w:val="21"/>
              </w:rPr>
              <w:t>统一社会信用代码</w:t>
            </w:r>
          </w:p>
        </w:tc>
        <w:tc>
          <w:tcPr>
            <w:tcW w:w="1739" w:type="dxa"/>
            <w:tcBorders>
              <w:top w:val="single" w:color="auto" w:sz="8" w:space="0"/>
            </w:tcBorders>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91320200134757148J</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1443"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466"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杨良生</w:t>
            </w:r>
          </w:p>
        </w:tc>
        <w:tc>
          <w:tcPr>
            <w:tcW w:w="129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576"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国有企业</w:t>
            </w:r>
          </w:p>
        </w:tc>
        <w:tc>
          <w:tcPr>
            <w:tcW w:w="1260"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传   真</w:t>
            </w:r>
          </w:p>
        </w:tc>
        <w:tc>
          <w:tcPr>
            <w:tcW w:w="1739"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0510-81180018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1443"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联 系 人</w:t>
            </w:r>
          </w:p>
        </w:tc>
        <w:tc>
          <w:tcPr>
            <w:tcW w:w="1466"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施金杰</w:t>
            </w:r>
          </w:p>
        </w:tc>
        <w:tc>
          <w:tcPr>
            <w:tcW w:w="1293"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576"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18662812887</w:t>
            </w:r>
          </w:p>
        </w:tc>
        <w:tc>
          <w:tcPr>
            <w:tcW w:w="1260"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739"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18662812887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1443"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35" w:type="dxa"/>
            <w:gridSpan w:val="3"/>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江苏省无锡市新吴区具区路88号</w:t>
            </w:r>
          </w:p>
        </w:tc>
        <w:tc>
          <w:tcPr>
            <w:tcW w:w="1260" w:type="dxa"/>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739" w:type="dxa"/>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214135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1443" w:type="dxa"/>
            <w:gridSpan w:val="2"/>
            <w:vAlign w:val="center"/>
          </w:tcPr>
          <w:p>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pPr>
              <w:autoSpaceDE w:val="0"/>
              <w:autoSpaceDN w:val="0"/>
              <w:adjustRightInd w:val="0"/>
              <w:spacing w:line="400" w:lineRule="exact"/>
              <w:jc w:val="center"/>
              <w:rPr>
                <w:rFonts w:ascii="Times New Roman" w:hAnsi="Times New Roman"/>
                <w:szCs w:val="21"/>
              </w:rPr>
            </w:pPr>
            <w:r>
              <w:rPr>
                <w:rFonts w:hint="eastAsia" w:ascii="Times New Roman" w:hAnsi="Times New Roman"/>
                <w:szCs w:val="21"/>
              </w:rPr>
              <w:t>shijinjie@cese2.com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70" w:hRule="atLeast"/>
        </w:trPr>
        <w:tc>
          <w:tcPr>
            <w:tcW w:w="8777" w:type="dxa"/>
            <w:gridSpan w:val="7"/>
          </w:tcPr>
          <w:p>
            <w:pPr>
              <w:tabs>
                <w:tab w:val="center" w:pos="4153"/>
                <w:tab w:val="right" w:pos="8306"/>
              </w:tabs>
              <w:autoSpaceDE w:val="0"/>
              <w:autoSpaceDN w:val="0"/>
              <w:adjustRightInd w:val="0"/>
              <w:spacing w:line="400" w:lineRule="exact"/>
              <w:rPr>
                <w:rFonts w:ascii="Times New Roman" w:hAnsi="Times New Roman"/>
                <w:szCs w:val="21"/>
              </w:rPr>
            </w:pPr>
            <w:r>
              <w:rPr>
                <w:rFonts w:ascii="Times New Roman" w:hAnsi="Times New Roman"/>
                <w:szCs w:val="21"/>
              </w:rPr>
              <w:t>科技创新和推广应用情况的贡献：（限600字）</w:t>
            </w:r>
          </w:p>
          <w:p>
            <w:pPr>
              <w:tabs>
                <w:tab w:val="center" w:pos="4153"/>
                <w:tab w:val="right" w:pos="8306"/>
              </w:tabs>
              <w:autoSpaceDE w:val="0"/>
              <w:autoSpaceDN w:val="0"/>
              <w:adjustRightInd w:val="0"/>
              <w:spacing w:line="360" w:lineRule="exact"/>
              <w:ind w:firstLine="420" w:firstLineChars="200"/>
              <w:rPr>
                <w:rFonts w:ascii="Times New Roman" w:hAnsi="Times New Roman"/>
                <w:szCs w:val="21"/>
              </w:rPr>
            </w:pPr>
            <w:r>
              <w:rPr>
                <w:rFonts w:hint="eastAsia" w:ascii="Times New Roman" w:hAnsi="Times New Roman"/>
                <w:szCs w:val="21"/>
              </w:rPr>
              <w:t>技术开发总负责单位，统筹、主持技术开发，协调外部资源。聚焦核酸采样、样本检测、隔离观察、患者收治等不同种类的应急医疗设施关键技术，立足于公司主导或参与的新冠疫情防控应急设施的建造项目，针对其功能布局、工业化设计，产品化制造等方面进行重点研究，形成核心关键技术及标准体系。</w:t>
            </w:r>
          </w:p>
          <w:p>
            <w:pPr>
              <w:tabs>
                <w:tab w:val="center" w:pos="4153"/>
                <w:tab w:val="right" w:pos="8306"/>
              </w:tabs>
              <w:autoSpaceDE w:val="0"/>
              <w:autoSpaceDN w:val="0"/>
              <w:adjustRightInd w:val="0"/>
              <w:spacing w:line="360" w:lineRule="exact"/>
              <w:ind w:firstLine="420" w:firstLineChars="200"/>
              <w:rPr>
                <w:rFonts w:ascii="Times New Roman" w:hAnsi="Times New Roman"/>
                <w:szCs w:val="21"/>
              </w:rPr>
            </w:pPr>
            <w:r>
              <w:rPr>
                <w:rFonts w:hint="eastAsia" w:ascii="Times New Roman" w:hAnsi="Times New Roman"/>
                <w:szCs w:val="21"/>
              </w:rPr>
              <w:t>创新性的研制了四工位模块化防护型移动核酸采集舱、二分区移动式PCR实验舱、大批量高效能PCR检测车间及模块化医学隔离观察中心等新冠疫情应急医疗设施。创新性的研发了正压双重防护、气溶胶快速收集、舱体深度灭菌、标本低温存储、全排型生物安全柜补偿风口负压控制、零距离隔离管控、自动定位定时消毒监测、工业化集成设计、围护结构模块装配式施工、机电系统标准化快速安装及过氧化氢远距离管道消毒等应急医疗设施的设计与建造关键技术。</w:t>
            </w:r>
          </w:p>
          <w:p>
            <w:pPr>
              <w:tabs>
                <w:tab w:val="center" w:pos="4153"/>
                <w:tab w:val="right" w:pos="8306"/>
              </w:tabs>
              <w:autoSpaceDE w:val="0"/>
              <w:autoSpaceDN w:val="0"/>
              <w:adjustRightInd w:val="0"/>
              <w:spacing w:line="360" w:lineRule="exact"/>
              <w:ind w:firstLine="420" w:firstLineChars="200"/>
              <w:rPr>
                <w:rFonts w:ascii="Times New Roman" w:hAnsi="Times New Roman"/>
                <w:szCs w:val="21"/>
              </w:rPr>
            </w:pPr>
            <w:r>
              <w:rPr>
                <w:rFonts w:hint="eastAsia" w:ascii="Times New Roman" w:hAnsi="Times New Roman"/>
                <w:szCs w:val="21"/>
              </w:rPr>
              <w:t>项目成果应用于无锡市新吴区核酸采样小屋布点项目、宁波市大规模核酸检测实验室基地、阜阳市二院城南院区隔离观察中心等项目的建设，得到政府及社会的一致好评，对提升应急医疗设施领域的技术水平有着良好的推动作用，具有广阔的推广前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26" w:hRule="atLeast"/>
        </w:trPr>
        <w:tc>
          <w:tcPr>
            <w:tcW w:w="891" w:type="dxa"/>
            <w:tcBorders>
              <w:bottom w:val="single" w:color="auto" w:sz="8" w:space="0"/>
            </w:tcBorders>
            <w:vAlign w:val="center"/>
          </w:tcPr>
          <w:p>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pPr>
              <w:adjustRightInd w:val="0"/>
              <w:spacing w:line="400" w:lineRule="exact"/>
              <w:jc w:val="center"/>
              <w:rPr>
                <w:rFonts w:ascii="Times New Roman" w:hAnsi="Times New Roman"/>
                <w:szCs w:val="21"/>
              </w:rPr>
            </w:pPr>
          </w:p>
          <w:p>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color="auto" w:sz="8" w:space="0"/>
            </w:tcBorders>
          </w:tcPr>
          <w:p>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pPr>
              <w:adjustRightInd w:val="0"/>
              <w:spacing w:line="400" w:lineRule="exact"/>
              <w:ind w:firstLine="404"/>
              <w:rPr>
                <w:rFonts w:ascii="Times New Roman" w:hAnsi="Times New Roman"/>
                <w:szCs w:val="21"/>
              </w:rPr>
            </w:pPr>
          </w:p>
          <w:p>
            <w:pPr>
              <w:adjustRightInd w:val="0"/>
              <w:spacing w:line="400" w:lineRule="exact"/>
              <w:ind w:firstLine="404"/>
              <w:rPr>
                <w:rFonts w:ascii="Times New Roman" w:hAnsi="Times New Roman"/>
                <w:szCs w:val="21"/>
              </w:rPr>
            </w:pPr>
            <w:r>
              <w:rPr>
                <w:rFonts w:ascii="Times New Roman" w:hAnsi="Times New Roman"/>
                <w:szCs w:val="21"/>
              </w:rPr>
              <w:t xml:space="preserve">                                         单位（公章）：</w:t>
            </w:r>
          </w:p>
          <w:p>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年    月    日</w:t>
            </w:r>
          </w:p>
        </w:tc>
      </w:tr>
    </w:tbl>
    <w:p>
      <w:pPr>
        <w:jc w:val="left"/>
        <w:rPr>
          <w:rFonts w:ascii="Times New Roman" w:hAnsi="Times New Roman"/>
          <w:snapToGrid w:val="0"/>
          <w:sz w:val="30"/>
          <w:szCs w:val="30"/>
        </w:rPr>
        <w:sectPr>
          <w:type w:val="nextColumn"/>
          <w:pgSz w:w="11906" w:h="16838"/>
          <w:pgMar w:top="1531" w:right="1531" w:bottom="1531" w:left="1814" w:header="720" w:footer="1474" w:gutter="0"/>
          <w:paperSrc w:first="15" w:other="15"/>
          <w:cols w:space="720" w:num="1"/>
        </w:sectPr>
      </w:pPr>
    </w:p>
    <w:p>
      <w:pPr>
        <w:rPr>
          <w:rFonts w:ascii="Times New Roman" w:hAnsi="Times New Roman"/>
          <w:sz w:val="28"/>
          <w:szCs w:val="28"/>
        </w:rPr>
      </w:pPr>
      <w:r>
        <w:rPr>
          <w:rFonts w:ascii="Times New Roman" w:hAnsi="Times New Roman"/>
          <w:sz w:val="28"/>
          <w:szCs w:val="28"/>
        </w:rPr>
        <w:t>2、</w:t>
      </w:r>
      <w:r>
        <w:rPr>
          <w:rFonts w:ascii="Times New Roman" w:hAnsi="Times New Roman" w:eastAsia="方正楷体_GBK"/>
          <w:sz w:val="28"/>
          <w:szCs w:val="28"/>
        </w:rPr>
        <w:t>其他完成单位情况</w:t>
      </w:r>
    </w:p>
    <w:tbl>
      <w:tblPr>
        <w:tblStyle w:val="4"/>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08"/>
        <w:gridCol w:w="2977"/>
        <w:gridCol w:w="1348"/>
        <w:gridCol w:w="1275"/>
        <w:gridCol w:w="1415"/>
        <w:gridCol w:w="3578"/>
        <w:gridCol w:w="257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708"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排名</w:t>
            </w:r>
          </w:p>
        </w:tc>
        <w:tc>
          <w:tcPr>
            <w:tcW w:w="2977"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单位名称（公章）</w:t>
            </w:r>
          </w:p>
        </w:tc>
        <w:tc>
          <w:tcPr>
            <w:tcW w:w="1348"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统一社会信用代码</w:t>
            </w:r>
          </w:p>
        </w:tc>
        <w:tc>
          <w:tcPr>
            <w:tcW w:w="1275"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单位所在地</w:t>
            </w:r>
          </w:p>
        </w:tc>
        <w:tc>
          <w:tcPr>
            <w:tcW w:w="1415"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单位属性</w:t>
            </w:r>
          </w:p>
        </w:tc>
        <w:tc>
          <w:tcPr>
            <w:tcW w:w="3578"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通讯地址、邮政编码</w:t>
            </w:r>
          </w:p>
        </w:tc>
        <w:tc>
          <w:tcPr>
            <w:tcW w:w="2575" w:type="dxa"/>
            <w:tcBorders>
              <w:top w:val="single" w:color="auto" w:sz="8" w:space="0"/>
            </w:tcBorders>
            <w:vAlign w:val="center"/>
          </w:tcPr>
          <w:p>
            <w:pPr>
              <w:tabs>
                <w:tab w:val="center" w:pos="4153"/>
                <w:tab w:val="right" w:pos="8306"/>
              </w:tabs>
              <w:autoSpaceDE w:val="0"/>
              <w:autoSpaceDN w:val="0"/>
              <w:adjustRightInd w:val="0"/>
              <w:snapToGrid w:val="0"/>
              <w:spacing w:line="400" w:lineRule="atLeast"/>
              <w:jc w:val="center"/>
              <w:rPr>
                <w:rFonts w:ascii="Times New Roman" w:hAnsi="Times New Roman" w:eastAsia="方正黑体_GBK"/>
                <w:szCs w:val="21"/>
              </w:rPr>
            </w:pPr>
            <w:r>
              <w:rPr>
                <w:rFonts w:ascii="Times New Roman" w:hAnsi="Times New Roman" w:eastAsia="方正黑体_GBK"/>
                <w:szCs w:val="21"/>
              </w:rPr>
              <w:t>本项目的贡献（指创新点）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2</w:t>
            </w:r>
          </w:p>
        </w:tc>
        <w:tc>
          <w:tcPr>
            <w:tcW w:w="2977"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青岛沃柏斯智能实验科技有限公司</w:t>
            </w:r>
          </w:p>
        </w:tc>
        <w:tc>
          <w:tcPr>
            <w:tcW w:w="1348"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91370213572085783Q</w:t>
            </w:r>
          </w:p>
        </w:tc>
        <w:tc>
          <w:tcPr>
            <w:tcW w:w="1275" w:type="dxa"/>
            <w:vAlign w:val="center"/>
          </w:tcPr>
          <w:p>
            <w:pPr>
              <w:autoSpaceDE w:val="0"/>
              <w:autoSpaceDN w:val="0"/>
              <w:adjustRightInd w:val="0"/>
              <w:snapToGrid w:val="0"/>
              <w:jc w:val="center"/>
              <w:rPr>
                <w:rFonts w:ascii="Times New Roman" w:hAnsi="Times New Roman"/>
                <w:szCs w:val="21"/>
              </w:rPr>
            </w:pPr>
            <w:r>
              <w:rPr>
                <w:rFonts w:hint="eastAsia"/>
              </w:rPr>
              <w:t>山东省青岛市城阳区</w:t>
            </w:r>
          </w:p>
        </w:tc>
        <w:tc>
          <w:tcPr>
            <w:tcW w:w="1415"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私营企业</w:t>
            </w:r>
          </w:p>
        </w:tc>
        <w:tc>
          <w:tcPr>
            <w:tcW w:w="3578"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山东省青岛市城阳区祥阳路106号5号楼东户厂房、266000</w:t>
            </w:r>
          </w:p>
        </w:tc>
        <w:tc>
          <w:tcPr>
            <w:tcW w:w="2575" w:type="dxa"/>
            <w:vAlign w:val="center"/>
          </w:tcPr>
          <w:p>
            <w:pPr>
              <w:autoSpaceDE w:val="0"/>
              <w:autoSpaceDN w:val="0"/>
              <w:adjustRightInd w:val="0"/>
              <w:snapToGrid w:val="0"/>
              <w:jc w:val="center"/>
              <w:rPr>
                <w:rFonts w:ascii="Times New Roman" w:hAnsi="Times New Roman"/>
                <w:szCs w:val="21"/>
              </w:rPr>
            </w:pPr>
            <w:r>
              <w:rPr>
                <w:rFonts w:hint="eastAsia" w:ascii="Times New Roman" w:hAnsi="Times New Roman"/>
                <w:szCs w:val="21"/>
              </w:rPr>
              <w:t>创新点2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vAlign w:val="center"/>
          </w:tcPr>
          <w:p>
            <w:pPr>
              <w:autoSpaceDE w:val="0"/>
              <w:autoSpaceDN w:val="0"/>
              <w:adjustRightInd w:val="0"/>
              <w:snapToGrid w:val="0"/>
              <w:jc w:val="center"/>
              <w:rPr>
                <w:rFonts w:ascii="Times New Roman" w:hAnsi="Times New Roman"/>
                <w:szCs w:val="21"/>
              </w:rPr>
            </w:pPr>
          </w:p>
        </w:tc>
        <w:tc>
          <w:tcPr>
            <w:tcW w:w="2977" w:type="dxa"/>
            <w:vAlign w:val="center"/>
          </w:tcPr>
          <w:p>
            <w:pPr>
              <w:autoSpaceDE w:val="0"/>
              <w:autoSpaceDN w:val="0"/>
              <w:adjustRightInd w:val="0"/>
              <w:snapToGrid w:val="0"/>
              <w:jc w:val="center"/>
              <w:rPr>
                <w:rFonts w:ascii="Times New Roman" w:hAnsi="Times New Roman"/>
                <w:szCs w:val="21"/>
              </w:rPr>
            </w:pPr>
          </w:p>
        </w:tc>
        <w:tc>
          <w:tcPr>
            <w:tcW w:w="1348" w:type="dxa"/>
            <w:vAlign w:val="center"/>
          </w:tcPr>
          <w:p>
            <w:pPr>
              <w:autoSpaceDE w:val="0"/>
              <w:autoSpaceDN w:val="0"/>
              <w:adjustRightInd w:val="0"/>
              <w:snapToGrid w:val="0"/>
              <w:jc w:val="center"/>
              <w:rPr>
                <w:rFonts w:ascii="Times New Roman" w:hAnsi="Times New Roman"/>
                <w:szCs w:val="21"/>
              </w:rPr>
            </w:pPr>
          </w:p>
        </w:tc>
        <w:tc>
          <w:tcPr>
            <w:tcW w:w="1275" w:type="dxa"/>
            <w:vAlign w:val="center"/>
          </w:tcPr>
          <w:p>
            <w:pPr>
              <w:autoSpaceDE w:val="0"/>
              <w:autoSpaceDN w:val="0"/>
              <w:adjustRightInd w:val="0"/>
              <w:snapToGrid w:val="0"/>
              <w:jc w:val="center"/>
              <w:rPr>
                <w:rFonts w:ascii="Times New Roman" w:hAnsi="Times New Roman"/>
                <w:szCs w:val="21"/>
              </w:rPr>
            </w:pPr>
          </w:p>
        </w:tc>
        <w:tc>
          <w:tcPr>
            <w:tcW w:w="1415" w:type="dxa"/>
            <w:vAlign w:val="center"/>
          </w:tcPr>
          <w:p>
            <w:pPr>
              <w:autoSpaceDE w:val="0"/>
              <w:autoSpaceDN w:val="0"/>
              <w:adjustRightInd w:val="0"/>
              <w:snapToGrid w:val="0"/>
              <w:jc w:val="center"/>
              <w:rPr>
                <w:rFonts w:ascii="Times New Roman" w:hAnsi="Times New Roman"/>
                <w:szCs w:val="21"/>
              </w:rPr>
            </w:pPr>
          </w:p>
        </w:tc>
        <w:tc>
          <w:tcPr>
            <w:tcW w:w="3578" w:type="dxa"/>
            <w:vAlign w:val="center"/>
          </w:tcPr>
          <w:p>
            <w:pPr>
              <w:autoSpaceDE w:val="0"/>
              <w:autoSpaceDN w:val="0"/>
              <w:adjustRightInd w:val="0"/>
              <w:snapToGrid w:val="0"/>
              <w:jc w:val="center"/>
              <w:rPr>
                <w:rFonts w:ascii="Times New Roman" w:hAnsi="Times New Roman"/>
                <w:szCs w:val="21"/>
              </w:rPr>
            </w:pPr>
          </w:p>
        </w:tc>
        <w:tc>
          <w:tcPr>
            <w:tcW w:w="2575" w:type="dxa"/>
            <w:vAlign w:val="center"/>
          </w:tcPr>
          <w:p>
            <w:pPr>
              <w:autoSpaceDE w:val="0"/>
              <w:autoSpaceDN w:val="0"/>
              <w:adjustRightInd w:val="0"/>
              <w:snapToGrid w:val="0"/>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08"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2977"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1348"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1275"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1415"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3578"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c>
          <w:tcPr>
            <w:tcW w:w="2575" w:type="dxa"/>
            <w:tcBorders>
              <w:bottom w:val="single" w:color="auto" w:sz="8" w:space="0"/>
            </w:tcBorders>
            <w:vAlign w:val="center"/>
          </w:tcPr>
          <w:p>
            <w:pPr>
              <w:autoSpaceDE w:val="0"/>
              <w:autoSpaceDN w:val="0"/>
              <w:adjustRightInd w:val="0"/>
              <w:snapToGrid w:val="0"/>
              <w:jc w:val="center"/>
              <w:rPr>
                <w:rFonts w:ascii="Times New Roman" w:hAnsi="Times New Roman"/>
                <w:szCs w:val="21"/>
              </w:rPr>
            </w:pPr>
          </w:p>
        </w:tc>
      </w:tr>
    </w:tbl>
    <w:p>
      <w:pPr>
        <w:spacing w:line="320" w:lineRule="exact"/>
        <w:ind w:left="-67" w:leftChars="-32" w:firstLine="210" w:firstLineChars="100"/>
        <w:rPr>
          <w:rFonts w:ascii="Times New Roman" w:hAnsi="Times New Roman"/>
          <w:szCs w:val="21"/>
        </w:rPr>
      </w:pPr>
      <w:r>
        <w:rPr>
          <w:rFonts w:ascii="Times New Roman" w:hAnsi="Times New Roman"/>
          <w:szCs w:val="21"/>
        </w:rPr>
        <w:t>注：1、排名必须与推荐书封面上完成单位的顺序一致。2、单位名称必须与单位公章一致。3、通讯地址必须详细至街道和门牌号码。</w:t>
      </w:r>
    </w:p>
    <w:p>
      <w:pPr>
        <w:jc w:val="left"/>
        <w:rPr>
          <w:rFonts w:ascii="Times New Roman" w:hAnsi="Times New Roman"/>
          <w:snapToGrid w:val="0"/>
          <w:szCs w:val="21"/>
        </w:rPr>
        <w:sectPr>
          <w:type w:val="nextColumn"/>
          <w:pgSz w:w="16838" w:h="11906" w:orient="landscape"/>
          <w:pgMar w:top="1531" w:right="1531" w:bottom="1814" w:left="1531" w:header="720" w:footer="1474" w:gutter="0"/>
          <w:paperSrc w:first="15" w:other="15"/>
          <w:cols w:space="720" w:num="1"/>
        </w:sectPr>
      </w:pPr>
    </w:p>
    <w:p>
      <w:pPr>
        <w:jc w:val="center"/>
        <w:rPr>
          <w:rFonts w:ascii="Times New Roman" w:hAnsi="Times New Roman" w:eastAsia="方正黑体_GBK"/>
          <w:sz w:val="30"/>
          <w:szCs w:val="30"/>
        </w:rPr>
      </w:pPr>
      <w:r>
        <w:rPr>
          <w:rFonts w:ascii="Times New Roman" w:hAnsi="Times New Roman" w:eastAsia="方正黑体_GBK"/>
          <w:sz w:val="30"/>
          <w:szCs w:val="30"/>
        </w:rPr>
        <w:t>十、推荐单位意见（专家推荐不填）</w:t>
      </w:r>
    </w:p>
    <w:p>
      <w:pPr>
        <w:spacing w:line="240" w:lineRule="exact"/>
        <w:jc w:val="center"/>
        <w:rPr>
          <w:rFonts w:ascii="Times New Roman" w:hAnsi="Times New Roman" w:eastAsia="方正黑体_GBK"/>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2"/>
        <w:gridCol w:w="836"/>
        <w:gridCol w:w="3518"/>
        <w:gridCol w:w="1161"/>
        <w:gridCol w:w="23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728" w:type="dxa"/>
            <w:gridSpan w:val="2"/>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江苏省安装行业协会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728" w:type="dxa"/>
            <w:gridSpan w:val="2"/>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江苏省南京市湛江路69号（千秋情缘花园12栋2504室）</w:t>
            </w:r>
          </w:p>
        </w:tc>
        <w:tc>
          <w:tcPr>
            <w:tcW w:w="1161"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    编</w:t>
            </w:r>
          </w:p>
        </w:tc>
        <w:tc>
          <w:tcPr>
            <w:tcW w:w="2373" w:type="dxa"/>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210036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728" w:type="dxa"/>
            <w:gridSpan w:val="2"/>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 系 人</w:t>
            </w:r>
          </w:p>
        </w:tc>
        <w:tc>
          <w:tcPr>
            <w:tcW w:w="3518" w:type="dxa"/>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陈华</w:t>
            </w:r>
          </w:p>
        </w:tc>
        <w:tc>
          <w:tcPr>
            <w:tcW w:w="1161"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15850955353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728" w:type="dxa"/>
            <w:gridSpan w:val="2"/>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pPr>
              <w:autoSpaceDE w:val="0"/>
              <w:autoSpaceDN w:val="0"/>
              <w:adjustRightInd w:val="0"/>
              <w:snapToGrid w:val="0"/>
              <w:spacing w:line="360" w:lineRule="exact"/>
              <w:jc w:val="center"/>
              <w:rPr>
                <w:rFonts w:ascii="Times New Roman" w:hAnsi="Times New Roman" w:eastAsia="方正仿宋_GBK"/>
                <w:sz w:val="24"/>
              </w:rPr>
            </w:pPr>
            <w:r>
              <w:rPr>
                <w:rFonts w:hint="eastAsia" w:ascii="Times New Roman" w:hAnsi="Times New Roman" w:eastAsia="方正仿宋_GBK"/>
                <w:sz w:val="24"/>
              </w:rPr>
              <w:t>jsazxh_ch@126.com</w:t>
            </w:r>
          </w:p>
        </w:tc>
        <w:tc>
          <w:tcPr>
            <w:tcW w:w="1161" w:type="dxa"/>
            <w:vAlign w:val="center"/>
          </w:tcPr>
          <w:p>
            <w:pPr>
              <w:autoSpaceDE w:val="0"/>
              <w:autoSpaceDN w:val="0"/>
              <w:adjustRightInd w:val="0"/>
              <w:snapToGrid w:val="0"/>
              <w:spacing w:line="360" w:lineRule="exact"/>
              <w:jc w:val="center"/>
              <w:rPr>
                <w:rFonts w:ascii="Times New Roman" w:hAnsi="Times New Roman"/>
                <w:szCs w:val="21"/>
                <w:highlight w:val="yellow"/>
              </w:rPr>
            </w:pPr>
            <w:r>
              <w:rPr>
                <w:rFonts w:ascii="Times New Roman" w:hAnsi="Times New Roman"/>
                <w:szCs w:val="21"/>
              </w:rPr>
              <w:t>传    真</w:t>
            </w:r>
          </w:p>
        </w:tc>
        <w:tc>
          <w:tcPr>
            <w:tcW w:w="2373" w:type="dxa"/>
            <w:vAlign w:val="center"/>
          </w:tcPr>
          <w:p>
            <w:pPr>
              <w:autoSpaceDE w:val="0"/>
              <w:autoSpaceDN w:val="0"/>
              <w:adjustRightInd w:val="0"/>
              <w:snapToGrid w:val="0"/>
              <w:spacing w:line="360" w:lineRule="exact"/>
              <w:jc w:val="center"/>
              <w:rPr>
                <w:rFonts w:ascii="Times New Roman" w:hAnsi="Times New Roman" w:eastAsia="方正仿宋_GBK"/>
                <w:sz w:val="24"/>
                <w:highlight w:val="yellow"/>
              </w:rPr>
            </w:pPr>
            <w:r>
              <w:rPr>
                <w:rFonts w:hint="eastAsia" w:ascii="Times New Roman" w:hAnsi="Times New Roman" w:eastAsia="方正仿宋_GBK"/>
                <w:sz w:val="24"/>
              </w:rPr>
              <w:t>025-86819700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97" w:hRule="atLeast"/>
        </w:trPr>
        <w:tc>
          <w:tcPr>
            <w:tcW w:w="8780" w:type="dxa"/>
            <w:gridSpan w:val="5"/>
          </w:tcPr>
          <w:p>
            <w:pPr>
              <w:adjustRightInd w:val="0"/>
              <w:rPr>
                <w:rFonts w:ascii="Times New Roman" w:hAnsi="Times New Roman"/>
                <w:szCs w:val="21"/>
              </w:rPr>
            </w:pPr>
            <w:r>
              <w:rPr>
                <w:rFonts w:ascii="Times New Roman" w:hAnsi="Times New Roman"/>
                <w:szCs w:val="21"/>
              </w:rPr>
              <w:t>推荐意见：（不超过600字）</w:t>
            </w:r>
          </w:p>
          <w:p>
            <w:pPr>
              <w:adjustRightInd w:val="0"/>
              <w:spacing w:line="360" w:lineRule="exact"/>
              <w:ind w:firstLine="420" w:firstLineChars="200"/>
              <w:rPr>
                <w:rFonts w:ascii="Times New Roman" w:hAnsi="Times New Roman"/>
                <w:szCs w:val="21"/>
              </w:rPr>
            </w:pPr>
            <w:r>
              <w:rPr>
                <w:rFonts w:hint="eastAsia" w:ascii="Times New Roman" w:hAnsi="Times New Roman"/>
                <w:szCs w:val="21"/>
              </w:rPr>
              <w:t>后疫情时代，移动式核酸采样工作站、移动式PCR实验室、健康驿站等为代表的应急医疗设施产品层出不穷，应急医疗设施建造工期短，可充分满足应急医疗的时效性需求。但目前其设计、制造、检测验收及使用维护等方面标准化程度低，安全防护标准不一致。</w:t>
            </w:r>
          </w:p>
          <w:p>
            <w:pPr>
              <w:adjustRightInd w:val="0"/>
              <w:spacing w:line="360" w:lineRule="exact"/>
              <w:ind w:firstLine="420" w:firstLineChars="200"/>
              <w:rPr>
                <w:rFonts w:ascii="Times New Roman" w:hAnsi="Times New Roman"/>
                <w:szCs w:val="21"/>
              </w:rPr>
            </w:pPr>
            <w:r>
              <w:rPr>
                <w:rFonts w:hint="eastAsia" w:ascii="Times New Roman" w:hAnsi="Times New Roman"/>
                <w:szCs w:val="21"/>
              </w:rPr>
              <w:t>项目针对公共卫生风险防控和应急管理短板，在新冠疫情防控应急设施技术标准体系、模块化防护型移动核酸采集舱建设关键技术、新冠核酸PCR检测设施建设关键技术、模块化应急医疗隔离观察中心建设关键技术、模块化方舱医院建设关键技术、过氧化氢远距离管道消毒技术等方面取得创新成果。项目成果经江苏省安装行业协会组织的科技成果评价，综合技术达到国内领先水平。项目已授权发明专利1项，授权实用新型专利6项，授权外观设计专利1项，已受理专利3项，参编标准4部（其中国家标准2部，地方标准1部、团体标准1部），发表论文2篇。</w:t>
            </w:r>
          </w:p>
          <w:p>
            <w:pPr>
              <w:adjustRightInd w:val="0"/>
              <w:spacing w:line="360" w:lineRule="exact"/>
              <w:ind w:firstLine="420" w:firstLineChars="200"/>
              <w:rPr>
                <w:rFonts w:ascii="Times New Roman" w:hAnsi="Times New Roman"/>
                <w:szCs w:val="21"/>
              </w:rPr>
            </w:pPr>
            <w:r>
              <w:rPr>
                <w:rFonts w:hint="eastAsia" w:ascii="Times New Roman" w:hAnsi="Times New Roman"/>
                <w:szCs w:val="21"/>
              </w:rPr>
              <w:t>成果应用于无锡市新吴区核酸采样小屋布点项目，以及阜阳市二院、中国科学院大学宁波华美医院等多个应急医疗设施项目，共计新增利润额约225万，取得了良好的经济效益，同时对于提升应急医疗设施领域的技术水平有着积极的推动作用，具有广阔的推广前景。</w:t>
            </w:r>
          </w:p>
          <w:p>
            <w:pPr>
              <w:adjustRightInd w:val="0"/>
              <w:spacing w:line="360" w:lineRule="exact"/>
              <w:ind w:firstLine="420" w:firstLineChars="200"/>
              <w:rPr>
                <w:rFonts w:ascii="Times New Roman" w:hAnsi="Times New Roman"/>
                <w:szCs w:val="21"/>
              </w:rPr>
            </w:pPr>
            <w:r>
              <w:rPr>
                <w:rFonts w:hint="eastAsia" w:ascii="Times New Roman" w:hAnsi="Times New Roman"/>
                <w:szCs w:val="21"/>
              </w:rPr>
              <w:t>综上，本单位推荐申报“江苏省建设科技创新成果奖”。</w:t>
            </w:r>
          </w:p>
          <w:p>
            <w:pPr>
              <w:autoSpaceDE w:val="0"/>
              <w:autoSpaceDN w:val="0"/>
              <w:adjustRightInd w:val="0"/>
              <w:snapToGrid w:val="0"/>
              <w:spacing w:line="590" w:lineRule="atLeast"/>
              <w:ind w:firstLine="4546" w:firstLineChars="2165"/>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63" w:hRule="atLeast"/>
        </w:trPr>
        <w:tc>
          <w:tcPr>
            <w:tcW w:w="892" w:type="dxa"/>
            <w:tcBorders>
              <w:bottom w:val="single" w:color="auto" w:sz="8" w:space="0"/>
            </w:tcBorders>
            <w:vAlign w:val="center"/>
          </w:tcPr>
          <w:p>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pPr>
              <w:adjustRightInd w:val="0"/>
              <w:spacing w:line="400" w:lineRule="exact"/>
              <w:jc w:val="center"/>
              <w:rPr>
                <w:rFonts w:ascii="Times New Roman" w:hAnsi="Times New Roman"/>
                <w:spacing w:val="-25"/>
                <w:szCs w:val="21"/>
              </w:rPr>
            </w:pPr>
          </w:p>
          <w:p>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color="auto" w:sz="8" w:space="0"/>
            </w:tcBorders>
          </w:tcPr>
          <w:p>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推荐单位（盖章）：  </w:t>
            </w:r>
          </w:p>
          <w:p>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年    月    日</w:t>
            </w:r>
          </w:p>
        </w:tc>
      </w:tr>
    </w:tbl>
    <w:p>
      <w:pPr>
        <w:rPr>
          <w:rFonts w:ascii="Times New Roman" w:hAnsi="Times New Roman" w:eastAsia="方正黑体_GBK"/>
          <w:sz w:val="30"/>
          <w:szCs w:val="30"/>
        </w:rPr>
      </w:pPr>
      <w:r>
        <w:rPr>
          <w:rFonts w:ascii="Times New Roman" w:hAnsi="Times New Roman" w:eastAsia="方正黑体_GBK"/>
          <w:sz w:val="30"/>
          <w:szCs w:val="30"/>
        </w:rPr>
        <w:br w:type="page"/>
      </w:r>
    </w:p>
    <w:p>
      <w:pPr>
        <w:jc w:val="center"/>
        <w:rPr>
          <w:rFonts w:ascii="Times New Roman" w:hAnsi="Times New Roman" w:eastAsia="方正黑体_GBK"/>
          <w:sz w:val="30"/>
          <w:szCs w:val="30"/>
        </w:rPr>
      </w:pPr>
      <w:r>
        <w:rPr>
          <w:rFonts w:ascii="Times New Roman" w:hAnsi="Times New Roman" w:eastAsia="方正黑体_GBK"/>
          <w:sz w:val="30"/>
          <w:szCs w:val="30"/>
        </w:rPr>
        <w:t>十一、推荐专家意见（单位推荐不填）</w:t>
      </w:r>
    </w:p>
    <w:p>
      <w:pPr>
        <w:spacing w:line="240" w:lineRule="exact"/>
        <w:jc w:val="center"/>
        <w:rPr>
          <w:rFonts w:ascii="Times New Roman" w:hAnsi="Times New Roman" w:eastAsia="方正黑体_GBK"/>
          <w:sz w:val="30"/>
          <w:szCs w:val="30"/>
        </w:rPr>
      </w:pPr>
    </w:p>
    <w:tbl>
      <w:tblPr>
        <w:tblStyle w:val="4"/>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418"/>
        <w:gridCol w:w="1134"/>
        <w:gridCol w:w="1417"/>
        <w:gridCol w:w="1134"/>
        <w:gridCol w:w="1089"/>
        <w:gridCol w:w="148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推荐专家一</w:t>
            </w:r>
          </w:p>
        </w:tc>
        <w:tc>
          <w:tcPr>
            <w:tcW w:w="1418" w:type="dxa"/>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p>
        </w:tc>
        <w:tc>
          <w:tcPr>
            <w:tcW w:w="1134" w:type="dxa"/>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p>
        </w:tc>
        <w:tc>
          <w:tcPr>
            <w:tcW w:w="1089" w:type="dxa"/>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tcBorders>
              <w:top w:val="single" w:color="auto" w:sz="8" w:space="0"/>
            </w:tcBorders>
            <w:vAlign w:val="center"/>
          </w:tcPr>
          <w:p>
            <w:pPr>
              <w:autoSpaceDE w:val="0"/>
              <w:autoSpaceDN w:val="0"/>
              <w:adjustRightInd w:val="0"/>
              <w:snapToGrid w:val="0"/>
              <w:spacing w:line="36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推荐专家二</w:t>
            </w:r>
          </w:p>
        </w:tc>
        <w:tc>
          <w:tcPr>
            <w:tcW w:w="1418" w:type="dxa"/>
            <w:vAlign w:val="center"/>
          </w:tcPr>
          <w:p>
            <w:pPr>
              <w:autoSpaceDE w:val="0"/>
              <w:autoSpaceDN w:val="0"/>
              <w:adjustRightInd w:val="0"/>
              <w:snapToGrid w:val="0"/>
              <w:spacing w:line="360" w:lineRule="exact"/>
              <w:jc w:val="center"/>
              <w:rPr>
                <w:rFonts w:ascii="Times New Roman" w:hAnsi="Times New Roman"/>
                <w:szCs w:val="21"/>
              </w:rPr>
            </w:pPr>
          </w:p>
        </w:tc>
        <w:tc>
          <w:tcPr>
            <w:tcW w:w="113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pPr>
              <w:autoSpaceDE w:val="0"/>
              <w:autoSpaceDN w:val="0"/>
              <w:adjustRightInd w:val="0"/>
              <w:snapToGrid w:val="0"/>
              <w:spacing w:line="360" w:lineRule="exact"/>
              <w:jc w:val="center"/>
              <w:rPr>
                <w:rFonts w:ascii="Times New Roman" w:hAnsi="Times New Roman"/>
                <w:szCs w:val="21"/>
              </w:rPr>
            </w:pPr>
          </w:p>
        </w:tc>
        <w:tc>
          <w:tcPr>
            <w:tcW w:w="1089"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pPr>
              <w:autoSpaceDE w:val="0"/>
              <w:autoSpaceDN w:val="0"/>
              <w:adjustRightInd w:val="0"/>
              <w:snapToGrid w:val="0"/>
              <w:spacing w:line="36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推荐专家三</w:t>
            </w:r>
          </w:p>
        </w:tc>
        <w:tc>
          <w:tcPr>
            <w:tcW w:w="1418" w:type="dxa"/>
            <w:vAlign w:val="center"/>
          </w:tcPr>
          <w:p>
            <w:pPr>
              <w:autoSpaceDE w:val="0"/>
              <w:autoSpaceDN w:val="0"/>
              <w:adjustRightInd w:val="0"/>
              <w:snapToGrid w:val="0"/>
              <w:spacing w:line="360" w:lineRule="exact"/>
              <w:jc w:val="center"/>
              <w:rPr>
                <w:rFonts w:ascii="Times New Roman" w:hAnsi="Times New Roman"/>
                <w:szCs w:val="21"/>
              </w:rPr>
            </w:pPr>
          </w:p>
        </w:tc>
        <w:tc>
          <w:tcPr>
            <w:tcW w:w="113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pPr>
              <w:autoSpaceDE w:val="0"/>
              <w:autoSpaceDN w:val="0"/>
              <w:adjustRightInd w:val="0"/>
              <w:snapToGrid w:val="0"/>
              <w:spacing w:line="360" w:lineRule="exact"/>
              <w:jc w:val="center"/>
              <w:rPr>
                <w:rFonts w:ascii="Times New Roman" w:hAnsi="Times New Roman"/>
                <w:szCs w:val="21"/>
              </w:rPr>
            </w:pPr>
          </w:p>
        </w:tc>
        <w:tc>
          <w:tcPr>
            <w:tcW w:w="1089"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pPr>
              <w:autoSpaceDE w:val="0"/>
              <w:autoSpaceDN w:val="0"/>
              <w:adjustRightInd w:val="0"/>
              <w:snapToGrid w:val="0"/>
              <w:spacing w:line="360" w:lineRule="exact"/>
              <w:jc w:val="center"/>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vAlign w:val="center"/>
          </w:tcPr>
          <w:p>
            <w:pPr>
              <w:adjustRightInd w:val="0"/>
              <w:jc w:val="center"/>
              <w:rPr>
                <w:rFonts w:ascii="Times New Roman" w:hAnsi="Times New Roman"/>
                <w:szCs w:val="21"/>
              </w:rPr>
            </w:pPr>
            <w:r>
              <w:rPr>
                <w:rFonts w:ascii="Times New Roman" w:hAnsi="Times New Roman"/>
                <w:szCs w:val="21"/>
              </w:rPr>
              <w:t>推荐专家一</w:t>
            </w:r>
          </w:p>
          <w:p>
            <w:pPr>
              <w:autoSpaceDE w:val="0"/>
              <w:autoSpaceDN w:val="0"/>
              <w:adjustRightInd w:val="0"/>
              <w:snapToGrid w:val="0"/>
              <w:jc w:val="center"/>
              <w:rPr>
                <w:rFonts w:ascii="Times New Roman" w:hAnsi="Times New Roman"/>
                <w:szCs w:val="21"/>
              </w:rPr>
            </w:pPr>
            <w:r>
              <w:rPr>
                <w:rFonts w:ascii="Times New Roman" w:hAnsi="Times New Roman"/>
                <w:szCs w:val="21"/>
              </w:rPr>
              <w:t>通讯地址</w:t>
            </w:r>
          </w:p>
        </w:tc>
        <w:tc>
          <w:tcPr>
            <w:tcW w:w="3969" w:type="dxa"/>
            <w:gridSpan w:val="3"/>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c>
          <w:tcPr>
            <w:tcW w:w="113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    编</w:t>
            </w:r>
          </w:p>
        </w:tc>
        <w:tc>
          <w:tcPr>
            <w:tcW w:w="2573" w:type="dxa"/>
            <w:gridSpan w:val="2"/>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 系 人</w:t>
            </w:r>
          </w:p>
        </w:tc>
        <w:tc>
          <w:tcPr>
            <w:tcW w:w="3969" w:type="dxa"/>
            <w:gridSpan w:val="3"/>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c>
          <w:tcPr>
            <w:tcW w:w="113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573" w:type="dxa"/>
            <w:gridSpan w:val="2"/>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8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969" w:type="dxa"/>
            <w:gridSpan w:val="3"/>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c>
          <w:tcPr>
            <w:tcW w:w="1134" w:type="dxa"/>
            <w:vAlign w:val="center"/>
          </w:tcPr>
          <w:p>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    真</w:t>
            </w:r>
          </w:p>
        </w:tc>
        <w:tc>
          <w:tcPr>
            <w:tcW w:w="2573" w:type="dxa"/>
            <w:gridSpan w:val="2"/>
            <w:vAlign w:val="center"/>
          </w:tcPr>
          <w:p>
            <w:pPr>
              <w:autoSpaceDE w:val="0"/>
              <w:autoSpaceDN w:val="0"/>
              <w:adjustRightInd w:val="0"/>
              <w:snapToGrid w:val="0"/>
              <w:spacing w:line="360" w:lineRule="exact"/>
              <w:ind w:firstLine="470"/>
              <w:jc w:val="center"/>
              <w:rPr>
                <w:rFonts w:ascii="Times New Roman" w:hAnsi="Times New Roman" w:eastAsia="方正仿宋_GBK"/>
                <w:sz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27" w:hRule="atLeast"/>
        </w:trPr>
        <w:tc>
          <w:tcPr>
            <w:tcW w:w="9060" w:type="dxa"/>
            <w:gridSpan w:val="7"/>
          </w:tcPr>
          <w:p>
            <w:pPr>
              <w:adjustRightInd w:val="0"/>
              <w:rPr>
                <w:rFonts w:ascii="Times New Roman" w:hAnsi="Times New Roman"/>
                <w:szCs w:val="21"/>
              </w:rPr>
            </w:pPr>
            <w:r>
              <w:rPr>
                <w:rFonts w:ascii="Times New Roman" w:hAnsi="Times New Roman"/>
                <w:szCs w:val="21"/>
              </w:rPr>
              <w:t>推荐意见：（不超过600字）</w:t>
            </w:r>
          </w:p>
          <w:p>
            <w:pPr>
              <w:autoSpaceDE w:val="0"/>
              <w:autoSpaceDN w:val="0"/>
              <w:adjustRightInd w:val="0"/>
              <w:snapToGrid w:val="0"/>
              <w:spacing w:line="590" w:lineRule="atLeast"/>
              <w:ind w:firstLine="4546" w:firstLineChars="2165"/>
              <w:rPr>
                <w:rFonts w:ascii="Times New Roman" w:hAnsi="Times New Roman"/>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384" w:type="dxa"/>
            <w:tcBorders>
              <w:bottom w:val="single" w:color="auto" w:sz="8" w:space="0"/>
            </w:tcBorders>
            <w:vAlign w:val="center"/>
          </w:tcPr>
          <w:p>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pPr>
              <w:adjustRightInd w:val="0"/>
              <w:spacing w:line="400" w:lineRule="exact"/>
              <w:jc w:val="center"/>
              <w:rPr>
                <w:rFonts w:ascii="Times New Roman" w:hAnsi="Times New Roman"/>
                <w:spacing w:val="-25"/>
                <w:szCs w:val="21"/>
              </w:rPr>
            </w:pPr>
          </w:p>
          <w:p>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676" w:type="dxa"/>
            <w:gridSpan w:val="6"/>
            <w:tcBorders>
              <w:bottom w:val="single" w:color="auto" w:sz="8" w:space="0"/>
            </w:tcBorders>
          </w:tcPr>
          <w:p>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pPr>
              <w:adjustRightIn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p>
            <w:pPr>
              <w:adjustRightInd w:val="0"/>
              <w:spacing w:line="400" w:lineRule="exact"/>
              <w:ind w:firstLine="3248" w:firstLineChars="1608"/>
              <w:rPr>
                <w:rFonts w:ascii="Times New Roman" w:hAnsi="Times New Roman"/>
                <w:spacing w:val="-4"/>
                <w:szCs w:val="21"/>
              </w:rPr>
            </w:pPr>
            <w:r>
              <w:rPr>
                <w:rFonts w:ascii="Times New Roman" w:hAnsi="Times New Roman"/>
                <w:spacing w:val="-4"/>
                <w:szCs w:val="21"/>
              </w:rPr>
              <w:t xml:space="preserve">推荐专家（签名）：      </w:t>
            </w:r>
          </w:p>
          <w:p>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年    月    日</w:t>
            </w:r>
          </w:p>
        </w:tc>
      </w:tr>
    </w:tbl>
    <w:p>
      <w:pPr>
        <w:rPr>
          <w:rFonts w:ascii="Times New Roman" w:hAnsi="Times New Roman" w:eastAsia="方正黑体_GBK"/>
          <w:sz w:val="30"/>
          <w:szCs w:val="30"/>
        </w:rPr>
      </w:pPr>
      <w:r>
        <w:rPr>
          <w:rFonts w:ascii="Times New Roman" w:hAnsi="Times New Roman" w:eastAsia="方正黑体_GBK"/>
          <w:sz w:val="30"/>
          <w:szCs w:val="30"/>
        </w:rPr>
        <w:br w:type="page"/>
      </w:r>
    </w:p>
    <w:p>
      <w:pPr>
        <w:jc w:val="center"/>
        <w:rPr>
          <w:rFonts w:ascii="Times New Roman" w:hAnsi="Times New Roman" w:eastAsia="方正黑体_GBK"/>
          <w:sz w:val="30"/>
          <w:szCs w:val="30"/>
        </w:rPr>
      </w:pPr>
      <w:r>
        <w:rPr>
          <w:rFonts w:ascii="Times New Roman" w:hAnsi="Times New Roman" w:eastAsia="方正黑体_GBK"/>
          <w:sz w:val="30"/>
          <w:szCs w:val="30"/>
        </w:rPr>
        <w:t>十二、附件</w:t>
      </w:r>
    </w:p>
    <w:p>
      <w:pPr>
        <w:snapToGrid w:val="0"/>
        <w:spacing w:line="570" w:lineRule="exact"/>
        <w:ind w:firstLine="555"/>
        <w:rPr>
          <w:rFonts w:ascii="Times New Roman" w:hAnsi="Times New Roman"/>
          <w:sz w:val="28"/>
          <w:szCs w:val="28"/>
        </w:rPr>
      </w:pPr>
    </w:p>
    <w:p>
      <w:pPr>
        <w:snapToGrid w:val="0"/>
        <w:spacing w:line="570" w:lineRule="exact"/>
        <w:ind w:firstLine="555"/>
        <w:rPr>
          <w:rFonts w:ascii="Times New Roman" w:hAnsi="Times New Roman"/>
          <w:sz w:val="24"/>
        </w:rPr>
      </w:pPr>
      <w:r>
        <w:rPr>
          <w:rFonts w:ascii="Times New Roman" w:hAnsi="Times New Roman"/>
          <w:sz w:val="24"/>
        </w:rPr>
        <w:t>1、主要研究报告</w:t>
      </w:r>
    </w:p>
    <w:p>
      <w:pPr>
        <w:snapToGrid w:val="0"/>
        <w:spacing w:line="570" w:lineRule="exact"/>
        <w:ind w:firstLine="555"/>
        <w:rPr>
          <w:rFonts w:ascii="Times New Roman" w:hAnsi="Times New Roman"/>
          <w:sz w:val="24"/>
        </w:rPr>
      </w:pPr>
      <w:r>
        <w:rPr>
          <w:rFonts w:ascii="Times New Roman" w:hAnsi="Times New Roman"/>
          <w:sz w:val="24"/>
        </w:rPr>
        <w:t>2、核心知识产权证明及国家法律法规要求审批的批准文件（不超过10件）</w:t>
      </w:r>
    </w:p>
    <w:p>
      <w:pPr>
        <w:snapToGrid w:val="0"/>
        <w:spacing w:line="570" w:lineRule="exact"/>
        <w:ind w:firstLine="555"/>
        <w:rPr>
          <w:rFonts w:ascii="Times New Roman" w:hAnsi="Times New Roman"/>
          <w:sz w:val="24"/>
        </w:rPr>
      </w:pPr>
      <w:r>
        <w:rPr>
          <w:rFonts w:ascii="Times New Roman" w:hAnsi="Times New Roman"/>
          <w:sz w:val="24"/>
        </w:rPr>
        <w:t>3、评价证明</w:t>
      </w:r>
    </w:p>
    <w:p>
      <w:pPr>
        <w:snapToGrid w:val="0"/>
        <w:spacing w:line="570" w:lineRule="exact"/>
        <w:ind w:firstLine="555"/>
        <w:rPr>
          <w:rFonts w:ascii="Times New Roman" w:hAnsi="Times New Roman"/>
          <w:sz w:val="24"/>
        </w:rPr>
      </w:pPr>
      <w:r>
        <w:rPr>
          <w:rFonts w:ascii="Times New Roman" w:hAnsi="Times New Roman"/>
          <w:sz w:val="24"/>
        </w:rPr>
        <w:t>4、应用证明</w:t>
      </w:r>
    </w:p>
    <w:p>
      <w:pPr>
        <w:snapToGrid w:val="0"/>
        <w:spacing w:line="570" w:lineRule="exact"/>
        <w:ind w:firstLine="555"/>
        <w:rPr>
          <w:rFonts w:ascii="Times New Roman" w:hAnsi="Times New Roman"/>
          <w:sz w:val="24"/>
        </w:rPr>
      </w:pPr>
      <w:r>
        <w:rPr>
          <w:rFonts w:ascii="Times New Roman" w:hAnsi="Times New Roman"/>
          <w:sz w:val="24"/>
        </w:rPr>
        <w:t>5、代表性论文论著（不超过5篇）</w:t>
      </w:r>
    </w:p>
    <w:p>
      <w:pPr>
        <w:snapToGrid w:val="0"/>
        <w:spacing w:line="570" w:lineRule="exact"/>
        <w:ind w:firstLine="555"/>
        <w:rPr>
          <w:rFonts w:ascii="Times New Roman" w:hAnsi="Times New Roman"/>
          <w:sz w:val="24"/>
        </w:rPr>
      </w:pPr>
      <w:r>
        <w:rPr>
          <w:rFonts w:ascii="Times New Roman" w:hAnsi="Times New Roman"/>
          <w:sz w:val="24"/>
        </w:rPr>
        <w:t>6、代表性论文论著他引用情况（不超过5篇）</w:t>
      </w:r>
    </w:p>
    <w:p>
      <w:pPr>
        <w:snapToGrid w:val="0"/>
        <w:spacing w:line="570" w:lineRule="exact"/>
        <w:ind w:firstLine="555"/>
        <w:rPr>
          <w:rFonts w:ascii="Times New Roman" w:hAnsi="Times New Roman"/>
          <w:sz w:val="24"/>
        </w:rPr>
      </w:pPr>
      <w:r>
        <w:rPr>
          <w:rFonts w:ascii="Times New Roman" w:hAnsi="Times New Roman"/>
          <w:sz w:val="24"/>
        </w:rPr>
        <w:t>7、检索报告</w:t>
      </w:r>
    </w:p>
    <w:p>
      <w:pPr>
        <w:snapToGrid w:val="0"/>
        <w:spacing w:line="570" w:lineRule="exact"/>
        <w:ind w:firstLine="555"/>
        <w:rPr>
          <w:rFonts w:ascii="Times New Roman" w:hAnsi="Times New Roman"/>
          <w:sz w:val="24"/>
        </w:rPr>
      </w:pPr>
      <w:r>
        <w:rPr>
          <w:rFonts w:ascii="Times New Roman" w:hAnsi="Times New Roman"/>
          <w:sz w:val="24"/>
        </w:rPr>
        <w:t>8、各完成单位内部公示结果</w:t>
      </w:r>
    </w:p>
    <w:p>
      <w:pPr>
        <w:snapToGrid w:val="0"/>
        <w:spacing w:line="570" w:lineRule="exact"/>
        <w:ind w:firstLine="556"/>
        <w:rPr>
          <w:rFonts w:ascii="Times New Roman" w:hAnsi="Times New Roman"/>
          <w:sz w:val="24"/>
        </w:rPr>
      </w:pPr>
      <w:r>
        <w:rPr>
          <w:rFonts w:ascii="Times New Roman" w:hAnsi="Times New Roman"/>
          <w:sz w:val="24"/>
        </w:rPr>
        <w:t>9、其他证明</w:t>
      </w:r>
    </w:p>
    <w:p>
      <w:pPr>
        <w:spacing w:line="400" w:lineRule="exact"/>
        <w:ind w:firstLine="556"/>
        <w:rPr>
          <w:rFonts w:ascii="Times New Roman" w:hAnsi="Times New Roman"/>
          <w:sz w:val="24"/>
        </w:rPr>
      </w:pPr>
    </w:p>
    <w:p>
      <w:pPr>
        <w:spacing w:line="590" w:lineRule="exact"/>
        <w:ind w:firstLine="555"/>
        <w:rPr>
          <w:rFonts w:ascii="Times New Roman" w:hAnsi="Times New Roman"/>
          <w:sz w:val="28"/>
          <w:szCs w:val="28"/>
        </w:rPr>
      </w:pPr>
    </w:p>
    <w:p>
      <w:pPr>
        <w:pStyle w:val="7"/>
        <w:spacing w:line="240" w:lineRule="auto"/>
        <w:jc w:val="both"/>
        <w:rPr>
          <w:rFonts w:ascii="Times New Roman" w:hAnsi="Times New Roman" w:eastAsia="方正仿宋_GBK"/>
          <w:snapToGrid w:val="0"/>
          <w:kern w:val="0"/>
          <w:sz w:val="32"/>
          <w:szCs w:val="20"/>
          <w:highlight w:val="yellow"/>
        </w:rPr>
      </w:pPr>
      <w:r>
        <w:rPr>
          <w:rFonts w:ascii="Times New Roman" w:hAnsi="Times New Roman"/>
        </w:rPr>
        <w:t xml:space="preserve"> </w:t>
      </w:r>
    </w:p>
    <w:p>
      <w:pPr>
        <w:spacing w:line="570" w:lineRule="exact"/>
        <w:rPr>
          <w:rFonts w:ascii="Times New Roman" w:hAnsi="Times New Roman" w:eastAsia="方正仿宋_GBK"/>
          <w:snapToGrid w:val="0"/>
          <w:kern w:val="0"/>
          <w:sz w:val="32"/>
          <w:szCs w:val="20"/>
          <w:highlight w:val="yellow"/>
        </w:rPr>
      </w:pPr>
    </w:p>
    <w:p>
      <w:pPr>
        <w:spacing w:line="570" w:lineRule="exact"/>
        <w:rPr>
          <w:rFonts w:ascii="Times New Roman" w:hAnsi="Times New Roman" w:eastAsia="方正仿宋_GBK"/>
          <w:snapToGrid w:val="0"/>
          <w:kern w:val="0"/>
          <w:sz w:val="32"/>
          <w:szCs w:val="20"/>
          <w:highlight w:val="yellow"/>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方正小标宋_GBK">
    <w:panose1 w:val="02000000000000000000"/>
    <w:charset w:val="86"/>
    <w:family w:val="script"/>
    <w:pitch w:val="default"/>
    <w:sig w:usb0="A00002BF" w:usb1="38CF7CFA" w:usb2="00080016" w:usb3="00000000" w:csb0="00040001" w:csb1="00000000"/>
  </w:font>
  <w:font w:name="方正黑体_GBK">
    <w:panose1 w:val="02000000000000000000"/>
    <w:charset w:val="86"/>
    <w:family w:val="script"/>
    <w:pitch w:val="default"/>
    <w:sig w:usb0="A00002BF" w:usb1="38CF7CFA" w:usb2="00082016" w:usb3="00000000" w:csb0="00040001" w:csb1="00000000"/>
  </w:font>
  <w:font w:name="方正仿宋_GBK">
    <w:panose1 w:val="02000000000000000000"/>
    <w:charset w:val="86"/>
    <w:family w:val="script"/>
    <w:pitch w:val="default"/>
    <w:sig w:usb0="A00002BF" w:usb1="38CF7CFA" w:usb2="00082016" w:usb3="00000000" w:csb0="00040001" w:csb1="00000000"/>
  </w:font>
  <w:font w:name="方正楷体_GBK">
    <w:panose1 w:val="02000000000000000000"/>
    <w:charset w:val="86"/>
    <w:family w:val="script"/>
    <w:pitch w:val="default"/>
    <w:sig w:usb0="A00002BF" w:usb1="38CF7CFA" w:usb2="00082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outside" w:y="1"/>
      <w:rPr>
        <w:rStyle w:val="6"/>
      </w:rPr>
    </w:pPr>
    <w:r>
      <w:rPr>
        <w:rStyle w:val="6"/>
        <w:rFonts w:hint="eastAsia"/>
      </w:rPr>
      <w:t xml:space="preserve">— </w:t>
    </w:r>
    <w:r>
      <w:fldChar w:fldCharType="begin"/>
    </w:r>
    <w:r>
      <w:rPr>
        <w:rStyle w:val="6"/>
      </w:rPr>
      <w:instrText xml:space="preserve">PAGE  </w:instrText>
    </w:r>
    <w:r>
      <w:fldChar w:fldCharType="separate"/>
    </w:r>
    <w:r>
      <w:rPr>
        <w:rStyle w:val="6"/>
      </w:rPr>
      <w:t>20</w:t>
    </w:r>
    <w:r>
      <w:fldChar w:fldCharType="end"/>
    </w:r>
    <w:r>
      <w:rPr>
        <w:rStyle w:val="6"/>
        <w:rFonts w:hint="eastAsia"/>
      </w:rPr>
      <w:t xml:space="preserve"> —</w:t>
    </w:r>
  </w:p>
  <w:p>
    <w:pPr>
      <w:pStyle w:val="3"/>
      <w:ind w:right="360"/>
      <w:jc w:val="both"/>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B044A1"/>
    <w:multiLevelType w:val="singleLevel"/>
    <w:tmpl w:val="A7B044A1"/>
    <w:lvl w:ilvl="0" w:tentative="0">
      <w:start w:val="1"/>
      <w:numFmt w:val="chineseCounting"/>
      <w:suff w:val="nothing"/>
      <w:lvlText w:val="%1、"/>
      <w:lvlJc w:val="left"/>
      <w:rPr>
        <w:rFonts w:hint="eastAsia"/>
      </w:rPr>
    </w:lvl>
  </w:abstractNum>
  <w:abstractNum w:abstractNumId="1">
    <w:nsid w:val="210F65C9"/>
    <w:multiLevelType w:val="singleLevel"/>
    <w:tmpl w:val="210F65C9"/>
    <w:lvl w:ilvl="0" w:tentative="0">
      <w:start w:val="1"/>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dkNDBmMDJjYWFlOWJhZTEwZWFmOGQzMjJhNTMxMTkifQ=="/>
  </w:docVars>
  <w:rsids>
    <w:rsidRoot w:val="1A0823D7"/>
    <w:rsid w:val="004975CF"/>
    <w:rsid w:val="0059230C"/>
    <w:rsid w:val="009A140D"/>
    <w:rsid w:val="00B7627F"/>
    <w:rsid w:val="03712EB6"/>
    <w:rsid w:val="03E365F2"/>
    <w:rsid w:val="07D220FC"/>
    <w:rsid w:val="0A612DE4"/>
    <w:rsid w:val="0B7C44D7"/>
    <w:rsid w:val="0D1424ED"/>
    <w:rsid w:val="11075D5B"/>
    <w:rsid w:val="116457F1"/>
    <w:rsid w:val="150C0619"/>
    <w:rsid w:val="1A0823D7"/>
    <w:rsid w:val="1C741FC9"/>
    <w:rsid w:val="1F44616C"/>
    <w:rsid w:val="1FF22167"/>
    <w:rsid w:val="20410F59"/>
    <w:rsid w:val="22B551BA"/>
    <w:rsid w:val="23CD0867"/>
    <w:rsid w:val="251F61EB"/>
    <w:rsid w:val="26C67323"/>
    <w:rsid w:val="2ABC2F7F"/>
    <w:rsid w:val="2BD15D21"/>
    <w:rsid w:val="2E660091"/>
    <w:rsid w:val="30CE770F"/>
    <w:rsid w:val="340A0022"/>
    <w:rsid w:val="3498562E"/>
    <w:rsid w:val="35F04D7D"/>
    <w:rsid w:val="36BA375D"/>
    <w:rsid w:val="3AD273C0"/>
    <w:rsid w:val="3C3F692E"/>
    <w:rsid w:val="3DB149CA"/>
    <w:rsid w:val="3E1758C2"/>
    <w:rsid w:val="47467049"/>
    <w:rsid w:val="4950607F"/>
    <w:rsid w:val="4ACC6717"/>
    <w:rsid w:val="4BC36FDC"/>
    <w:rsid w:val="4C74071D"/>
    <w:rsid w:val="4FEA6825"/>
    <w:rsid w:val="55BE1D14"/>
    <w:rsid w:val="58164938"/>
    <w:rsid w:val="5AC86F9E"/>
    <w:rsid w:val="5AFF16B3"/>
    <w:rsid w:val="5CB97463"/>
    <w:rsid w:val="5E7E4791"/>
    <w:rsid w:val="5F18408C"/>
    <w:rsid w:val="60ED52BD"/>
    <w:rsid w:val="625B7B17"/>
    <w:rsid w:val="6AD22940"/>
    <w:rsid w:val="72C866BA"/>
    <w:rsid w:val="730D56EB"/>
    <w:rsid w:val="735F0F38"/>
    <w:rsid w:val="785B5D23"/>
    <w:rsid w:val="787B4C41"/>
    <w:rsid w:val="794F33AE"/>
    <w:rsid w:val="79FF176C"/>
    <w:rsid w:val="7B430CF1"/>
    <w:rsid w:val="7C26471C"/>
    <w:rsid w:val="7F3447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Plain Text"/>
    <w:basedOn w:val="1"/>
    <w:qFormat/>
    <w:uiPriority w:val="99"/>
    <w:pPr>
      <w:spacing w:line="360" w:lineRule="auto"/>
      <w:ind w:firstLine="480" w:firstLineChars="200"/>
    </w:pPr>
    <w:rPr>
      <w:rFonts w:ascii="仿宋_GB2312"/>
    </w:rPr>
  </w:style>
  <w:style w:type="paragraph" w:styleId="3">
    <w:name w:val="footer"/>
    <w:basedOn w:val="1"/>
    <w:unhideWhenUsed/>
    <w:qFormat/>
    <w:uiPriority w:val="99"/>
    <w:pPr>
      <w:tabs>
        <w:tab w:val="center" w:pos="4153"/>
        <w:tab w:val="right" w:pos="8306"/>
      </w:tabs>
      <w:snapToGrid w:val="0"/>
      <w:jc w:val="left"/>
    </w:pPr>
    <w:rPr>
      <w:sz w:val="18"/>
      <w:szCs w:val="18"/>
    </w:rPr>
  </w:style>
  <w:style w:type="character" w:styleId="6">
    <w:name w:val="page number"/>
    <w:qFormat/>
    <w:uiPriority w:val="0"/>
  </w:style>
  <w:style w:type="paragraph" w:customStyle="1" w:styleId="7">
    <w:name w:val="标题1"/>
    <w:basedOn w:val="1"/>
    <w:next w:val="1"/>
    <w:qFormat/>
    <w:uiPriority w:val="0"/>
    <w:pPr>
      <w:tabs>
        <w:tab w:val="left" w:pos="9193"/>
        <w:tab w:val="left" w:pos="9827"/>
      </w:tabs>
      <w:spacing w:line="640" w:lineRule="atLeast"/>
      <w:jc w:val="center"/>
    </w:pPr>
    <w:rPr>
      <w:rFonts w:eastAsia="方正小标宋_GBK"/>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30</Pages>
  <Words>16529</Words>
  <Characters>18063</Characters>
  <Lines>144</Lines>
  <Paragraphs>40</Paragraphs>
  <TotalTime>51</TotalTime>
  <ScaleCrop>false</ScaleCrop>
  <LinksUpToDate>false</LinksUpToDate>
  <CharactersWithSpaces>19014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2023-05-15T01:35:00Z</dcterms:created>
  <dc:creator>KK</dc:creator>
  <cp:lastModifiedBy>KK</cp:lastModifiedBy>
  <dcterms:modified xsi:type="dcterms:W3CDTF">2023-05-26T00:28:39Z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BD1F7A08C79D45E59C736FA8F60D90B6_11</vt:lpwstr>
  </property>
</Properties>
</file>