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color w:val="auto"/>
          <w:sz w:val="21"/>
          <w:szCs w:val="21"/>
          <w:highlight w:val="none"/>
        </w:rPr>
      </w:pPr>
    </w:p>
    <w:p>
      <w:pPr>
        <w:jc w:val="center"/>
        <w:rPr>
          <w:rFonts w:hint="eastAsia" w:ascii="宋体" w:hAnsi="宋体" w:eastAsia="宋体" w:cs="宋体"/>
          <w:color w:val="auto"/>
          <w:sz w:val="21"/>
          <w:szCs w:val="21"/>
          <w:highlight w:val="none"/>
        </w:rPr>
      </w:pPr>
    </w:p>
    <w:p>
      <w:pPr>
        <w:pStyle w:val="2"/>
        <w:ind w:left="0" w:leftChars="0" w:firstLine="0" w:firstLineChars="0"/>
        <w:rPr>
          <w:rFonts w:hint="eastAsia" w:ascii="宋体" w:hAnsi="宋体" w:eastAsia="宋体" w:cs="宋体"/>
          <w:color w:val="auto"/>
          <w:sz w:val="21"/>
          <w:szCs w:val="21"/>
          <w:highlight w:val="none"/>
        </w:rPr>
      </w:pPr>
    </w:p>
    <w:p>
      <w:pPr>
        <w:pStyle w:val="2"/>
        <w:ind w:left="0" w:leftChars="0" w:firstLine="0" w:firstLineChars="0"/>
        <w:rPr>
          <w:rFonts w:hint="eastAsia" w:ascii="宋体" w:hAnsi="宋体" w:eastAsia="宋体" w:cs="宋体"/>
          <w:color w:val="auto"/>
          <w:sz w:val="21"/>
          <w:szCs w:val="21"/>
          <w:highlight w:val="none"/>
        </w:rPr>
      </w:pPr>
    </w:p>
    <w:p>
      <w:pPr>
        <w:pStyle w:val="2"/>
        <w:ind w:left="0" w:leftChars="0" w:firstLine="0" w:firstLineChars="0"/>
        <w:rPr>
          <w:rFonts w:hint="eastAsia" w:ascii="宋体" w:hAnsi="宋体" w:eastAsia="宋体" w:cs="宋体"/>
          <w:color w:val="auto"/>
          <w:sz w:val="21"/>
          <w:szCs w:val="21"/>
          <w:highlight w:val="none"/>
        </w:rPr>
      </w:pPr>
    </w:p>
    <w:p>
      <w:pPr>
        <w:pStyle w:val="2"/>
        <w:ind w:left="0" w:leftChars="0" w:firstLine="0" w:firstLineChars="0"/>
        <w:rPr>
          <w:rFonts w:hint="eastAsia" w:ascii="宋体" w:hAnsi="宋体" w:eastAsia="宋体" w:cs="宋体"/>
          <w:color w:val="auto"/>
          <w:sz w:val="21"/>
          <w:szCs w:val="21"/>
          <w:highlight w:val="none"/>
        </w:rPr>
      </w:pPr>
    </w:p>
    <w:p>
      <w:pPr>
        <w:pStyle w:val="2"/>
        <w:ind w:left="0" w:leftChars="0" w:firstLine="0" w:firstLineChars="0"/>
        <w:rPr>
          <w:rFonts w:hint="eastAsia" w:ascii="宋体" w:hAnsi="宋体" w:eastAsia="宋体" w:cs="宋体"/>
          <w:color w:val="auto"/>
          <w:sz w:val="21"/>
          <w:szCs w:val="21"/>
          <w:highlight w:val="none"/>
        </w:rPr>
      </w:pPr>
    </w:p>
    <w:p>
      <w:pPr>
        <w:pStyle w:val="2"/>
        <w:ind w:left="0" w:leftChars="0" w:firstLine="0" w:firstLineChars="0"/>
        <w:rPr>
          <w:rFonts w:hint="eastAsia" w:ascii="宋体" w:hAnsi="宋体" w:eastAsia="宋体" w:cs="宋体"/>
          <w:color w:val="auto"/>
          <w:sz w:val="21"/>
          <w:szCs w:val="21"/>
          <w:highlight w:val="none"/>
        </w:rPr>
      </w:pPr>
    </w:p>
    <w:p>
      <w:pPr>
        <w:keepNext w:val="0"/>
        <w:keepLines w:val="0"/>
        <w:pageBreakBefore w:val="0"/>
        <w:widowControl w:val="0"/>
        <w:kinsoku/>
        <w:wordWrap/>
        <w:overflowPunct/>
        <w:topLinePunct w:val="0"/>
        <w:autoSpaceDE/>
        <w:autoSpaceDN/>
        <w:bidi w:val="0"/>
        <w:adjustRightInd/>
        <w:snapToGrid/>
        <w:spacing w:after="157" w:afterLines="50" w:line="480" w:lineRule="auto"/>
        <w:jc w:val="center"/>
        <w:textAlignment w:val="auto"/>
        <w:rPr>
          <w:rFonts w:hint="eastAsia" w:ascii="方正小标宋_GBK" w:hAnsi="宋体" w:eastAsia="方正小标宋_GBK"/>
          <w:color w:val="auto"/>
          <w:sz w:val="96"/>
          <w:szCs w:val="96"/>
          <w:highlight w:val="none"/>
        </w:rPr>
      </w:pPr>
      <w:r>
        <w:rPr>
          <w:rFonts w:hint="eastAsia" w:ascii="方正小标宋_GBK" w:hAnsi="宋体" w:eastAsia="方正小标宋_GBK"/>
          <w:color w:val="auto"/>
          <w:sz w:val="96"/>
          <w:szCs w:val="96"/>
          <w:highlight w:val="none"/>
        </w:rPr>
        <w:t>江苏省工程质量安全手册实施细则</w:t>
      </w:r>
    </w:p>
    <w:p>
      <w:pPr>
        <w:keepNext w:val="0"/>
        <w:keepLines w:val="0"/>
        <w:pageBreakBefore w:val="0"/>
        <w:widowControl w:val="0"/>
        <w:kinsoku/>
        <w:wordWrap/>
        <w:overflowPunct/>
        <w:topLinePunct w:val="0"/>
        <w:autoSpaceDE/>
        <w:autoSpaceDN/>
        <w:bidi w:val="0"/>
        <w:adjustRightInd/>
        <w:snapToGrid/>
        <w:spacing w:after="157" w:afterLines="50" w:line="480" w:lineRule="auto"/>
        <w:jc w:val="center"/>
        <w:textAlignment w:val="auto"/>
        <w:rPr>
          <w:rFonts w:hint="eastAsia" w:ascii="Times New Roman" w:hAnsi="Times New Roman" w:eastAsia="方正楷体_GBK"/>
          <w:color w:val="auto"/>
          <w:sz w:val="96"/>
          <w:szCs w:val="96"/>
          <w:highlight w:val="none"/>
        </w:rPr>
      </w:pPr>
      <w:r>
        <w:rPr>
          <w:rFonts w:hint="eastAsia" w:ascii="Times New Roman" w:hAnsi="Times New Roman" w:eastAsia="方正楷体_GBK"/>
          <w:color w:val="auto"/>
          <w:sz w:val="96"/>
          <w:szCs w:val="96"/>
          <w:highlight w:val="none"/>
        </w:rPr>
        <w:t>市政工程之燃气篇（202</w:t>
      </w:r>
      <w:r>
        <w:rPr>
          <w:rFonts w:hint="eastAsia" w:ascii="Times New Roman" w:hAnsi="Times New Roman" w:eastAsia="方正楷体_GBK"/>
          <w:color w:val="auto"/>
          <w:sz w:val="96"/>
          <w:szCs w:val="96"/>
          <w:highlight w:val="none"/>
          <w:lang w:val="en-US" w:eastAsia="zh-CN"/>
        </w:rPr>
        <w:t>3</w:t>
      </w:r>
      <w:r>
        <w:rPr>
          <w:rFonts w:hint="eastAsia" w:ascii="Times New Roman" w:hAnsi="Times New Roman" w:eastAsia="方正楷体_GBK"/>
          <w:color w:val="auto"/>
          <w:sz w:val="96"/>
          <w:szCs w:val="96"/>
          <w:highlight w:val="none"/>
        </w:rPr>
        <w:t>版）</w:t>
      </w:r>
    </w:p>
    <w:p>
      <w:pPr>
        <w:jc w:val="center"/>
        <w:rPr>
          <w:rFonts w:hint="eastAsia" w:ascii="宋体" w:hAnsi="宋体" w:eastAsia="宋体" w:cs="宋体"/>
          <w:color w:val="auto"/>
          <w:sz w:val="21"/>
          <w:szCs w:val="21"/>
          <w:highlight w:val="none"/>
        </w:rPr>
      </w:pPr>
    </w:p>
    <w:p>
      <w:pPr>
        <w:jc w:val="center"/>
        <w:rPr>
          <w:rFonts w:hint="eastAsia" w:ascii="宋体" w:hAnsi="宋体" w:eastAsia="宋体" w:cs="宋体"/>
          <w:color w:val="auto"/>
          <w:sz w:val="21"/>
          <w:szCs w:val="21"/>
          <w:highlight w:val="none"/>
        </w:rPr>
      </w:pPr>
    </w:p>
    <w:p>
      <w:pPr>
        <w:jc w:val="center"/>
        <w:rPr>
          <w:rFonts w:hint="eastAsia" w:ascii="宋体" w:hAnsi="宋体" w:eastAsia="宋体" w:cs="宋体"/>
          <w:color w:val="auto"/>
          <w:sz w:val="21"/>
          <w:szCs w:val="21"/>
          <w:highlight w:val="none"/>
        </w:rPr>
      </w:pPr>
    </w:p>
    <w:p>
      <w:pPr>
        <w:pStyle w:val="2"/>
        <w:ind w:left="0" w:leftChars="0" w:firstLine="0" w:firstLineChars="0"/>
        <w:rPr>
          <w:rFonts w:hint="eastAsia" w:ascii="宋体" w:hAnsi="宋体" w:eastAsia="宋体" w:cs="宋体"/>
          <w:sz w:val="21"/>
          <w:szCs w:val="21"/>
        </w:rPr>
      </w:pPr>
    </w:p>
    <w:p>
      <w:pP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br w:type="page"/>
      </w:r>
    </w:p>
    <w:p>
      <w:pPr>
        <w:jc w:val="center"/>
        <w:rPr>
          <w:rFonts w:hint="eastAsia" w:ascii="宋体" w:hAnsi="宋体" w:eastAsia="宋体" w:cs="宋体"/>
          <w:color w:val="auto"/>
          <w:sz w:val="21"/>
          <w:szCs w:val="21"/>
          <w:highlight w:val="none"/>
        </w:rPr>
      </w:pPr>
    </w:p>
    <w:p>
      <w:pPr>
        <w:pStyle w:val="2"/>
        <w:rPr>
          <w:rFonts w:hint="eastAsia" w:ascii="宋体" w:hAnsi="宋体" w:eastAsia="宋体" w:cs="宋体"/>
          <w:color w:val="auto"/>
          <w:sz w:val="21"/>
          <w:szCs w:val="21"/>
          <w:highlight w:val="none"/>
        </w:rPr>
      </w:pPr>
    </w:p>
    <w:p>
      <w:pPr>
        <w:pStyle w:val="2"/>
        <w:rPr>
          <w:rFonts w:hint="eastAsia" w:ascii="宋体" w:hAnsi="宋体" w:eastAsia="宋体" w:cs="宋体"/>
          <w:color w:val="auto"/>
          <w:sz w:val="21"/>
          <w:szCs w:val="21"/>
          <w:highlight w:val="none"/>
        </w:rPr>
      </w:pPr>
    </w:p>
    <w:p>
      <w:pPr>
        <w:pStyle w:val="2"/>
        <w:rPr>
          <w:rFonts w:hint="eastAsia" w:ascii="宋体" w:hAnsi="宋体" w:eastAsia="宋体" w:cs="宋体"/>
          <w:color w:val="auto"/>
          <w:sz w:val="21"/>
          <w:szCs w:val="21"/>
          <w:highlight w:val="none"/>
        </w:rPr>
      </w:pPr>
    </w:p>
    <w:p>
      <w:pPr>
        <w:pStyle w:val="2"/>
        <w:rPr>
          <w:rFonts w:hint="eastAsia" w:ascii="宋体" w:hAnsi="宋体" w:eastAsia="宋体" w:cs="宋体"/>
          <w:color w:val="auto"/>
          <w:sz w:val="21"/>
          <w:szCs w:val="21"/>
          <w:highlight w:val="none"/>
        </w:rPr>
      </w:pPr>
    </w:p>
    <w:p>
      <w:pPr>
        <w:pStyle w:val="2"/>
        <w:rPr>
          <w:rFonts w:hint="eastAsia" w:ascii="宋体" w:hAnsi="宋体" w:eastAsia="宋体" w:cs="宋体"/>
          <w:color w:val="auto"/>
          <w:sz w:val="21"/>
          <w:szCs w:val="21"/>
          <w:highlight w:val="none"/>
        </w:rPr>
      </w:pPr>
    </w:p>
    <w:p>
      <w:pPr>
        <w:pStyle w:val="2"/>
        <w:rPr>
          <w:rFonts w:hint="eastAsia" w:ascii="宋体" w:hAnsi="宋体" w:eastAsia="宋体" w:cs="宋体"/>
          <w:color w:val="auto"/>
          <w:sz w:val="21"/>
          <w:szCs w:val="21"/>
          <w:highlight w:val="none"/>
        </w:rPr>
      </w:pPr>
    </w:p>
    <w:p>
      <w:pPr>
        <w:jc w:val="center"/>
        <w:rPr>
          <w:rFonts w:hint="eastAsia" w:ascii="宋体" w:hAnsi="宋体" w:eastAsia="宋体" w:cs="宋体"/>
          <w:color w:val="auto"/>
          <w:sz w:val="21"/>
          <w:szCs w:val="21"/>
          <w:highlight w:val="none"/>
        </w:rPr>
      </w:pPr>
    </w:p>
    <w:p>
      <w:pPr>
        <w:keepNext w:val="0"/>
        <w:keepLines w:val="0"/>
        <w:pageBreakBefore w:val="0"/>
        <w:widowControl w:val="0"/>
        <w:kinsoku/>
        <w:wordWrap/>
        <w:overflowPunct/>
        <w:topLinePunct w:val="0"/>
        <w:autoSpaceDE/>
        <w:autoSpaceDN/>
        <w:bidi w:val="0"/>
        <w:adjustRightInd/>
        <w:snapToGrid/>
        <w:ind w:left="0" w:leftChars="0" w:firstLine="0" w:firstLineChars="0"/>
        <w:jc w:val="center"/>
        <w:textAlignment w:val="auto"/>
        <w:rPr>
          <w:rFonts w:hint="eastAsia" w:ascii="方正小标宋_GBK" w:hAnsi="宋体" w:eastAsia="方正小标宋_GBK"/>
          <w:color w:val="auto"/>
          <w:sz w:val="84"/>
          <w:szCs w:val="84"/>
          <w:highlight w:val="none"/>
        </w:rPr>
      </w:pPr>
      <w:r>
        <w:rPr>
          <w:rFonts w:hint="eastAsia" w:ascii="方正小标宋_GBK" w:hAnsi="宋体" w:eastAsia="方正小标宋_GBK"/>
          <w:color w:val="auto"/>
          <w:sz w:val="84"/>
          <w:szCs w:val="84"/>
          <w:highlight w:val="none"/>
        </w:rPr>
        <w:t>江苏省工程质量安全手册实施细则</w:t>
      </w:r>
    </w:p>
    <w:p>
      <w:pPr>
        <w:keepNext w:val="0"/>
        <w:keepLines w:val="0"/>
        <w:pageBreakBefore w:val="0"/>
        <w:widowControl w:val="0"/>
        <w:kinsoku/>
        <w:wordWrap/>
        <w:overflowPunct/>
        <w:topLinePunct w:val="0"/>
        <w:autoSpaceDE/>
        <w:autoSpaceDN/>
        <w:bidi w:val="0"/>
        <w:adjustRightInd/>
        <w:snapToGrid/>
        <w:ind w:left="0" w:leftChars="0" w:firstLine="0" w:firstLineChars="0"/>
        <w:jc w:val="center"/>
        <w:textAlignment w:val="auto"/>
        <w:rPr>
          <w:rFonts w:hint="eastAsia" w:ascii="Times New Roman" w:hAnsi="Times New Roman" w:eastAsia="方正楷体_GBK"/>
          <w:color w:val="auto"/>
          <w:sz w:val="72"/>
          <w:szCs w:val="72"/>
          <w:highlight w:val="none"/>
        </w:rPr>
      </w:pPr>
      <w:r>
        <w:rPr>
          <w:rFonts w:hint="eastAsia" w:ascii="Times New Roman" w:hAnsi="Times New Roman" w:eastAsia="方正楷体_GBK"/>
          <w:color w:val="auto"/>
          <w:sz w:val="72"/>
          <w:szCs w:val="72"/>
          <w:highlight w:val="none"/>
        </w:rPr>
        <w:t>市政工程之燃气篇（202</w:t>
      </w:r>
      <w:r>
        <w:rPr>
          <w:rFonts w:hint="eastAsia" w:ascii="Times New Roman" w:hAnsi="Times New Roman" w:eastAsia="方正楷体_GBK"/>
          <w:color w:val="auto"/>
          <w:sz w:val="72"/>
          <w:szCs w:val="72"/>
          <w:highlight w:val="none"/>
          <w:lang w:val="en-US" w:eastAsia="zh-CN"/>
        </w:rPr>
        <w:t>3</w:t>
      </w:r>
      <w:r>
        <w:rPr>
          <w:rFonts w:hint="eastAsia" w:ascii="Times New Roman" w:hAnsi="Times New Roman" w:eastAsia="方正楷体_GBK"/>
          <w:color w:val="auto"/>
          <w:sz w:val="72"/>
          <w:szCs w:val="72"/>
          <w:highlight w:val="none"/>
        </w:rPr>
        <w:t>版）</w:t>
      </w:r>
    </w:p>
    <w:p>
      <w:pPr>
        <w:keepNext w:val="0"/>
        <w:keepLines w:val="0"/>
        <w:pageBreakBefore w:val="0"/>
        <w:widowControl w:val="0"/>
        <w:kinsoku/>
        <w:wordWrap/>
        <w:overflowPunct/>
        <w:topLinePunct w:val="0"/>
        <w:autoSpaceDE/>
        <w:autoSpaceDN/>
        <w:bidi w:val="0"/>
        <w:adjustRightInd/>
        <w:snapToGrid/>
        <w:ind w:left="0" w:leftChars="0" w:firstLine="0" w:firstLineChars="0"/>
        <w:jc w:val="center"/>
        <w:textAlignment w:val="auto"/>
        <w:rPr>
          <w:rFonts w:hint="eastAsia" w:ascii="宋体" w:hAnsi="宋体" w:eastAsia="宋体" w:cs="宋体"/>
          <w:color w:val="auto"/>
          <w:sz w:val="21"/>
          <w:szCs w:val="21"/>
          <w:highlight w:val="none"/>
        </w:rPr>
      </w:pPr>
    </w:p>
    <w:p>
      <w:pPr>
        <w:keepNext w:val="0"/>
        <w:keepLines w:val="0"/>
        <w:pageBreakBefore w:val="0"/>
        <w:widowControl w:val="0"/>
        <w:kinsoku/>
        <w:wordWrap/>
        <w:overflowPunct/>
        <w:topLinePunct w:val="0"/>
        <w:autoSpaceDE/>
        <w:autoSpaceDN/>
        <w:bidi w:val="0"/>
        <w:adjustRightInd/>
        <w:snapToGrid/>
        <w:ind w:left="0" w:leftChars="0" w:firstLine="0" w:firstLineChars="0"/>
        <w:jc w:val="center"/>
        <w:textAlignment w:val="auto"/>
        <w:rPr>
          <w:rFonts w:hint="eastAsia" w:ascii="宋体" w:hAnsi="宋体" w:eastAsia="宋体" w:cs="宋体"/>
          <w:color w:val="auto"/>
          <w:sz w:val="21"/>
          <w:szCs w:val="21"/>
          <w:highlight w:val="none"/>
        </w:rPr>
      </w:pPr>
    </w:p>
    <w:p>
      <w:pPr>
        <w:pStyle w:val="2"/>
        <w:keepNext w:val="0"/>
        <w:keepLines w:val="0"/>
        <w:pageBreakBefore w:val="0"/>
        <w:widowControl w:val="0"/>
        <w:kinsoku/>
        <w:wordWrap/>
        <w:overflowPunct/>
        <w:topLinePunct w:val="0"/>
        <w:autoSpaceDE/>
        <w:autoSpaceDN/>
        <w:bidi w:val="0"/>
        <w:adjustRightInd/>
        <w:snapToGrid/>
        <w:ind w:left="0" w:leftChars="0" w:firstLine="0" w:firstLineChars="0"/>
        <w:jc w:val="center"/>
        <w:textAlignment w:val="auto"/>
        <w:rPr>
          <w:rFonts w:hint="eastAsia" w:ascii="方正黑体_GBK" w:hAnsi="宋体" w:eastAsia="方正黑体_GBK"/>
          <w:color w:val="auto"/>
          <w:sz w:val="72"/>
          <w:szCs w:val="96"/>
          <w:highlight w:val="none"/>
        </w:rPr>
      </w:pPr>
    </w:p>
    <w:p>
      <w:pPr>
        <w:pStyle w:val="2"/>
        <w:keepNext w:val="0"/>
        <w:keepLines w:val="0"/>
        <w:pageBreakBefore w:val="0"/>
        <w:widowControl w:val="0"/>
        <w:kinsoku/>
        <w:wordWrap/>
        <w:overflowPunct/>
        <w:topLinePunct w:val="0"/>
        <w:autoSpaceDE/>
        <w:autoSpaceDN/>
        <w:bidi w:val="0"/>
        <w:adjustRightInd/>
        <w:snapToGrid/>
        <w:ind w:left="0" w:leftChars="0" w:firstLine="0" w:firstLineChars="0"/>
        <w:jc w:val="center"/>
        <w:textAlignment w:val="auto"/>
        <w:rPr>
          <w:rFonts w:hint="eastAsia" w:ascii="方正黑体_GBK" w:hAnsi="宋体" w:eastAsia="方正黑体_GBK"/>
          <w:color w:val="auto"/>
          <w:sz w:val="72"/>
          <w:szCs w:val="96"/>
          <w:highlight w:val="none"/>
        </w:rPr>
      </w:pPr>
      <w:r>
        <w:rPr>
          <w:rFonts w:hint="eastAsia" w:ascii="方正黑体_GBK" w:hAnsi="宋体" w:eastAsia="方正黑体_GBK"/>
          <w:color w:val="auto"/>
          <w:sz w:val="72"/>
          <w:szCs w:val="96"/>
          <w:highlight w:val="none"/>
        </w:rPr>
        <w:t>上册：质量分册</w:t>
      </w:r>
    </w:p>
    <w:p>
      <w:pPr>
        <w:rPr>
          <w:rFonts w:hint="eastAsia" w:ascii="宋体" w:hAnsi="宋体" w:eastAsia="宋体" w:cs="宋体"/>
          <w:color w:val="auto"/>
          <w:sz w:val="21"/>
          <w:szCs w:val="21"/>
          <w:highlight w:val="none"/>
        </w:rPr>
        <w:sectPr>
          <w:footerReference r:id="rId3" w:type="default"/>
          <w:pgSz w:w="23814" w:h="16839" w:orient="landscape"/>
          <w:pgMar w:top="1418" w:right="1304" w:bottom="1134" w:left="1304" w:header="851" w:footer="992" w:gutter="0"/>
          <w:cols w:space="425" w:num="1"/>
          <w:docGrid w:type="lines" w:linePitch="312" w:charSpace="0"/>
        </w:sectPr>
      </w:pPr>
      <w:r>
        <w:rPr>
          <w:rFonts w:hint="eastAsia" w:ascii="宋体" w:hAnsi="宋体" w:eastAsia="宋体" w:cs="宋体"/>
          <w:color w:val="auto"/>
          <w:sz w:val="21"/>
          <w:szCs w:val="21"/>
          <w:highlight w:val="none"/>
        </w:rPr>
        <w:br w:type="page"/>
      </w:r>
    </w:p>
    <w:p>
      <w:pPr>
        <w:pStyle w:val="2"/>
        <w:ind w:left="0" w:leftChars="0" w:firstLine="0" w:firstLineChars="0"/>
        <w:rPr>
          <w:rFonts w:hint="eastAsia"/>
        </w:rPr>
      </w:pPr>
    </w:p>
    <w:p>
      <w:pPr>
        <w:pStyle w:val="2"/>
        <w:ind w:left="0" w:leftChars="0" w:firstLine="0" w:firstLineChars="0"/>
        <w:rPr>
          <w:rFonts w:hint="eastAsia"/>
        </w:rPr>
      </w:pPr>
    </w:p>
    <w:p>
      <w:pPr>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编制说明</w:t>
      </w:r>
    </w:p>
    <w:p>
      <w:pPr>
        <w:pStyle w:val="17"/>
        <w:spacing w:before="0" w:beforeAutospacing="0" w:after="0" w:afterAutospacing="0" w:line="360" w:lineRule="auto"/>
        <w:ind w:firstLine="420" w:firstLineChars="200"/>
        <w:jc w:val="both"/>
        <w:rPr>
          <w:rFonts w:hint="eastAsia" w:ascii="宋体" w:hAnsi="宋体" w:eastAsia="宋体" w:cs="宋体"/>
          <w:color w:val="auto"/>
          <w:sz w:val="21"/>
          <w:szCs w:val="21"/>
          <w:highlight w:val="none"/>
        </w:rPr>
      </w:pPr>
    </w:p>
    <w:p>
      <w:pPr>
        <w:widowControl/>
        <w:spacing w:line="360" w:lineRule="auto"/>
        <w:ind w:left="840" w:leftChars="400" w:right="420" w:rightChars="200" w:firstLine="420" w:firstLineChars="200"/>
        <w:textAlignment w:val="center"/>
        <w:rPr>
          <w:rStyle w:val="140"/>
          <w:rFonts w:hint="eastAsia" w:ascii="宋体" w:hAnsi="宋体" w:eastAsia="宋体" w:cs="宋体"/>
          <w:b w:val="0"/>
          <w:color w:val="auto"/>
          <w:sz w:val="21"/>
          <w:szCs w:val="21"/>
          <w:highlight w:val="none"/>
        </w:rPr>
      </w:pPr>
      <w:r>
        <w:rPr>
          <w:rStyle w:val="140"/>
          <w:rFonts w:hint="eastAsia" w:ascii="宋体" w:hAnsi="宋体" w:eastAsia="宋体" w:cs="宋体"/>
          <w:b w:val="0"/>
          <w:color w:val="auto"/>
          <w:sz w:val="21"/>
          <w:szCs w:val="21"/>
          <w:highlight w:val="none"/>
        </w:rPr>
        <w:t>工程质量安全手册制度是实现工程质量管理标准化和安全生产标准化的有效途径，对深入开展房屋和市政工程安全治理两年行动，提升我省建筑施工整体质量安全水平具有重要意义。为进一步完善我省工程质量安全手册制度，组织编制《江苏省工程质量安全手册实施细则市政工程之燃气篇（202</w:t>
      </w:r>
      <w:r>
        <w:rPr>
          <w:rStyle w:val="140"/>
          <w:rFonts w:hint="eastAsia" w:ascii="宋体" w:hAnsi="宋体" w:eastAsia="宋体" w:cs="宋体"/>
          <w:b w:val="0"/>
          <w:color w:val="auto"/>
          <w:sz w:val="21"/>
          <w:szCs w:val="21"/>
          <w:highlight w:val="none"/>
          <w:lang w:val="en-US" w:eastAsia="zh-CN"/>
        </w:rPr>
        <w:t>3</w:t>
      </w:r>
      <w:r>
        <w:rPr>
          <w:rStyle w:val="140"/>
          <w:rFonts w:hint="eastAsia" w:ascii="宋体" w:hAnsi="宋体" w:eastAsia="宋体" w:cs="宋体"/>
          <w:b w:val="0"/>
          <w:color w:val="auto"/>
          <w:sz w:val="21"/>
          <w:szCs w:val="21"/>
          <w:highlight w:val="none"/>
        </w:rPr>
        <w:t>版）》（上册：《质量分册》，下册</w:t>
      </w:r>
      <w:r>
        <w:rPr>
          <w:rStyle w:val="140"/>
          <w:rFonts w:hint="eastAsia" w:ascii="宋体" w:hAnsi="宋体" w:eastAsia="宋体" w:cs="宋体"/>
          <w:b w:val="0"/>
          <w:color w:val="auto"/>
          <w:sz w:val="21"/>
          <w:szCs w:val="21"/>
          <w:highlight w:val="none"/>
          <w:lang w:eastAsia="zh-CN"/>
        </w:rPr>
        <w:t>：</w:t>
      </w:r>
      <w:r>
        <w:rPr>
          <w:rStyle w:val="140"/>
          <w:rFonts w:hint="eastAsia" w:ascii="宋体" w:hAnsi="宋体" w:eastAsia="宋体" w:cs="宋体"/>
          <w:b w:val="0"/>
          <w:color w:val="auto"/>
          <w:sz w:val="21"/>
          <w:szCs w:val="21"/>
          <w:highlight w:val="none"/>
        </w:rPr>
        <w:t>《安全分册》）（简称《市政燃气细则（202</w:t>
      </w:r>
      <w:r>
        <w:rPr>
          <w:rStyle w:val="140"/>
          <w:rFonts w:hint="eastAsia" w:ascii="宋体" w:hAnsi="宋体" w:eastAsia="宋体" w:cs="宋体"/>
          <w:b w:val="0"/>
          <w:color w:val="auto"/>
          <w:sz w:val="21"/>
          <w:szCs w:val="21"/>
          <w:highlight w:val="none"/>
          <w:lang w:val="en-US" w:eastAsia="zh-CN"/>
        </w:rPr>
        <w:t>3</w:t>
      </w:r>
      <w:r>
        <w:rPr>
          <w:rStyle w:val="140"/>
          <w:rFonts w:hint="eastAsia" w:ascii="宋体" w:hAnsi="宋体" w:eastAsia="宋体" w:cs="宋体"/>
          <w:b w:val="0"/>
          <w:color w:val="auto"/>
          <w:sz w:val="21"/>
          <w:szCs w:val="21"/>
          <w:highlight w:val="none"/>
        </w:rPr>
        <w:t>版）》），与已印发的《江苏省工程质量安全手册实施细则市政工程之道路桥梁隧道综合管廊篇（2022版）》（苏建质安</w:t>
      </w:r>
      <w:r>
        <w:rPr>
          <w:rStyle w:val="140"/>
          <w:rFonts w:hint="eastAsia" w:ascii="宋体" w:hAnsi="宋体" w:eastAsia="宋体" w:cs="宋体"/>
          <w:b w:val="0"/>
          <w:color w:val="auto"/>
          <w:sz w:val="21"/>
          <w:szCs w:val="21"/>
          <w:highlight w:val="none"/>
        </w:rPr>
        <w:t>〔2022〕221号</w:t>
      </w:r>
      <w:r>
        <w:rPr>
          <w:rStyle w:val="140"/>
          <w:rFonts w:hint="eastAsia" w:ascii="宋体" w:hAnsi="宋体" w:eastAsia="宋体" w:cs="宋体"/>
          <w:b w:val="0"/>
          <w:color w:val="auto"/>
          <w:sz w:val="21"/>
          <w:szCs w:val="21"/>
          <w:highlight w:val="none"/>
        </w:rPr>
        <w:t>）</w:t>
      </w:r>
      <w:r>
        <w:rPr>
          <w:rStyle w:val="140"/>
          <w:rFonts w:hint="eastAsia" w:ascii="宋体" w:hAnsi="宋体" w:eastAsia="宋体" w:cs="宋体"/>
          <w:b w:val="0"/>
          <w:color w:val="auto"/>
          <w:sz w:val="21"/>
          <w:szCs w:val="21"/>
          <w:highlight w:val="none"/>
          <w:lang w:val="en-US" w:eastAsia="zh-CN"/>
        </w:rPr>
        <w:t>形成合力，</w:t>
      </w:r>
      <w:r>
        <w:rPr>
          <w:rStyle w:val="140"/>
          <w:rFonts w:hint="eastAsia" w:ascii="宋体" w:hAnsi="宋体" w:eastAsia="宋体" w:cs="宋体"/>
          <w:b w:val="0"/>
          <w:color w:val="auto"/>
          <w:sz w:val="21"/>
          <w:szCs w:val="21"/>
          <w:highlight w:val="none"/>
        </w:rPr>
        <w:t>共同填补“国家、省、企业”三级工程质量安全手册制度中“省”一层级在市政工程上的空白。</w:t>
      </w:r>
    </w:p>
    <w:p>
      <w:pPr>
        <w:widowControl/>
        <w:spacing w:line="360" w:lineRule="auto"/>
        <w:ind w:left="840" w:leftChars="400" w:right="420" w:rightChars="200" w:firstLine="420" w:firstLineChars="200"/>
        <w:textAlignment w:val="center"/>
        <w:rPr>
          <w:rStyle w:val="140"/>
          <w:rFonts w:hint="eastAsia" w:ascii="宋体" w:hAnsi="宋体" w:eastAsia="宋体" w:cs="宋体"/>
          <w:b w:val="0"/>
          <w:color w:val="auto"/>
          <w:sz w:val="21"/>
          <w:szCs w:val="21"/>
          <w:highlight w:val="none"/>
        </w:rPr>
      </w:pPr>
      <w:r>
        <w:rPr>
          <w:rStyle w:val="140"/>
          <w:rFonts w:hint="eastAsia" w:ascii="宋体" w:hAnsi="宋体" w:eastAsia="宋体" w:cs="宋体"/>
          <w:b w:val="0"/>
          <w:color w:val="auto"/>
          <w:sz w:val="21"/>
          <w:szCs w:val="21"/>
          <w:highlight w:val="none"/>
        </w:rPr>
        <w:t>《市政燃气细则（202</w:t>
      </w:r>
      <w:r>
        <w:rPr>
          <w:rStyle w:val="140"/>
          <w:rFonts w:hint="eastAsia" w:ascii="宋体" w:hAnsi="宋体" w:eastAsia="宋体" w:cs="宋体"/>
          <w:b w:val="0"/>
          <w:color w:val="auto"/>
          <w:sz w:val="21"/>
          <w:szCs w:val="21"/>
          <w:highlight w:val="none"/>
          <w:lang w:val="en-US" w:eastAsia="zh-CN"/>
        </w:rPr>
        <w:t>3</w:t>
      </w:r>
      <w:r>
        <w:rPr>
          <w:rStyle w:val="140"/>
          <w:rFonts w:hint="eastAsia" w:ascii="宋体" w:hAnsi="宋体" w:eastAsia="宋体" w:cs="宋体"/>
          <w:b w:val="0"/>
          <w:color w:val="auto"/>
          <w:sz w:val="21"/>
          <w:szCs w:val="21"/>
          <w:highlight w:val="none"/>
        </w:rPr>
        <w:t>版）》的编制以住房城乡建设部印发的《工程质量安全手册（试行）》（建质〔2018〕95号）为基本遵循，借鉴编制、修编《江苏省工程质量安全手册实施细则房屋建筑工程篇》（简称《房建细则》）2020版、2022版的工作经验，广泛听取《房建细则》2020版推广使用后基层反映的意见和建议，在全面、系统梳理国家和省关于城镇燃气工程建设的法律法规规章规定以及相关工程技术标准的基础上，将其中与城镇燃气工程建设质量安全关系最为密切的条款、条文</w:t>
      </w:r>
      <w:r>
        <w:rPr>
          <w:rStyle w:val="140"/>
          <w:rFonts w:hint="eastAsia" w:ascii="宋体" w:hAnsi="宋体" w:eastAsia="宋体" w:cs="宋体"/>
          <w:b w:val="0"/>
          <w:color w:val="auto"/>
          <w:sz w:val="21"/>
          <w:szCs w:val="21"/>
          <w:highlight w:val="none"/>
          <w:lang w:eastAsia="zh-CN"/>
        </w:rPr>
        <w:t>，</w:t>
      </w:r>
      <w:r>
        <w:rPr>
          <w:rStyle w:val="140"/>
          <w:rFonts w:hint="eastAsia" w:ascii="宋体" w:hAnsi="宋体" w:eastAsia="宋体" w:cs="宋体"/>
          <w:b w:val="0"/>
          <w:color w:val="auto"/>
          <w:sz w:val="21"/>
          <w:szCs w:val="21"/>
          <w:highlight w:val="none"/>
        </w:rPr>
        <w:t>尤其是强制性条文编纂成册。</w:t>
      </w:r>
    </w:p>
    <w:p>
      <w:pPr>
        <w:widowControl/>
        <w:spacing w:line="360" w:lineRule="auto"/>
        <w:ind w:left="840" w:leftChars="400" w:right="420" w:rightChars="200" w:firstLine="420" w:firstLineChars="200"/>
        <w:textAlignment w:val="center"/>
        <w:rPr>
          <w:rStyle w:val="140"/>
          <w:rFonts w:hint="eastAsia" w:ascii="宋体" w:hAnsi="宋体" w:eastAsia="宋体" w:cs="宋体"/>
          <w:b w:val="0"/>
          <w:color w:val="auto"/>
          <w:sz w:val="21"/>
          <w:szCs w:val="21"/>
          <w:highlight w:val="none"/>
        </w:rPr>
      </w:pPr>
      <w:r>
        <w:rPr>
          <w:rStyle w:val="140"/>
          <w:rFonts w:hint="eastAsia" w:ascii="宋体" w:hAnsi="宋体" w:eastAsia="宋体" w:cs="宋体"/>
          <w:b w:val="0"/>
          <w:color w:val="auto"/>
          <w:sz w:val="21"/>
          <w:szCs w:val="21"/>
          <w:highlight w:val="none"/>
        </w:rPr>
        <w:t>希望《市政燃气细则（202</w:t>
      </w:r>
      <w:r>
        <w:rPr>
          <w:rStyle w:val="140"/>
          <w:rFonts w:hint="eastAsia" w:ascii="宋体" w:hAnsi="宋体" w:eastAsia="宋体" w:cs="宋体"/>
          <w:b w:val="0"/>
          <w:color w:val="auto"/>
          <w:sz w:val="21"/>
          <w:szCs w:val="21"/>
          <w:highlight w:val="none"/>
          <w:lang w:val="en-US" w:eastAsia="zh-CN"/>
        </w:rPr>
        <w:t>3</w:t>
      </w:r>
      <w:r>
        <w:rPr>
          <w:rStyle w:val="140"/>
          <w:rFonts w:hint="eastAsia" w:ascii="宋体" w:hAnsi="宋体" w:eastAsia="宋体" w:cs="宋体"/>
          <w:b w:val="0"/>
          <w:color w:val="auto"/>
          <w:sz w:val="21"/>
          <w:szCs w:val="21"/>
          <w:highlight w:val="none"/>
        </w:rPr>
        <w:t>版）》成为一本指导企业、项目、一线人员开展城镇燃气工程建设、非常实用的工具书和口袋书，使工程质量安全要求落实到每个项目、每个员工，落实到工程建设全过程。</w:t>
      </w:r>
    </w:p>
    <w:p>
      <w:pPr>
        <w:spacing w:line="360" w:lineRule="auto"/>
        <w:rPr>
          <w:rFonts w:hint="eastAsia" w:ascii="宋体" w:hAnsi="宋体" w:eastAsia="宋体" w:cs="宋体"/>
          <w:color w:val="auto"/>
          <w:sz w:val="21"/>
          <w:szCs w:val="21"/>
          <w:highlight w:val="none"/>
        </w:rPr>
      </w:pPr>
    </w:p>
    <w:p>
      <w:pPr>
        <w:spacing w:line="360" w:lineRule="auto"/>
        <w:rPr>
          <w:rFonts w:hint="eastAsia" w:ascii="宋体" w:hAnsi="宋体" w:eastAsia="宋体" w:cs="宋体"/>
          <w:color w:val="auto"/>
          <w:sz w:val="21"/>
          <w:szCs w:val="21"/>
          <w:highlight w:val="none"/>
        </w:rPr>
      </w:pPr>
    </w:p>
    <w:p>
      <w:pPr>
        <w:spacing w:line="360" w:lineRule="auto"/>
        <w:rPr>
          <w:rFonts w:hint="eastAsia" w:ascii="宋体" w:hAnsi="宋体" w:eastAsia="宋体" w:cs="宋体"/>
          <w:color w:val="auto"/>
          <w:sz w:val="21"/>
          <w:szCs w:val="21"/>
          <w:highlight w:val="none"/>
        </w:rPr>
      </w:pPr>
    </w:p>
    <w:p>
      <w:pPr>
        <w:spacing w:line="360" w:lineRule="auto"/>
        <w:rPr>
          <w:rFonts w:hint="eastAsia" w:ascii="宋体" w:hAnsi="宋体" w:eastAsia="宋体" w:cs="宋体"/>
          <w:color w:val="auto"/>
          <w:sz w:val="21"/>
          <w:szCs w:val="21"/>
          <w:highlight w:val="none"/>
        </w:rPr>
      </w:pPr>
    </w:p>
    <w:p>
      <w:pPr>
        <w:pStyle w:val="2"/>
        <w:rPr>
          <w:rFonts w:hint="eastAsia" w:ascii="宋体" w:hAnsi="宋体" w:eastAsia="宋体" w:cs="宋体"/>
          <w:color w:val="auto"/>
          <w:sz w:val="21"/>
          <w:szCs w:val="21"/>
          <w:highlight w:val="none"/>
        </w:rPr>
      </w:pPr>
    </w:p>
    <w:p>
      <w:pPr>
        <w:pStyle w:val="2"/>
        <w:rPr>
          <w:rFonts w:hint="eastAsia" w:ascii="宋体" w:hAnsi="宋体" w:eastAsia="宋体" w:cs="宋体"/>
          <w:color w:val="auto"/>
          <w:sz w:val="21"/>
          <w:szCs w:val="21"/>
          <w:highlight w:val="none"/>
        </w:rPr>
      </w:pPr>
    </w:p>
    <w:p>
      <w:pPr>
        <w:pStyle w:val="2"/>
        <w:rPr>
          <w:rFonts w:hint="eastAsia" w:ascii="宋体" w:hAnsi="宋体" w:eastAsia="宋体" w:cs="宋体"/>
          <w:color w:val="auto"/>
          <w:sz w:val="21"/>
          <w:szCs w:val="21"/>
          <w:highlight w:val="none"/>
        </w:rPr>
      </w:pPr>
    </w:p>
    <w:p>
      <w:pPr>
        <w:pStyle w:val="2"/>
        <w:rPr>
          <w:rFonts w:hint="eastAsia" w:ascii="宋体" w:hAnsi="宋体" w:eastAsia="宋体" w:cs="宋体"/>
          <w:color w:val="auto"/>
          <w:sz w:val="21"/>
          <w:szCs w:val="21"/>
          <w:highlight w:val="none"/>
        </w:rPr>
      </w:pPr>
    </w:p>
    <w:p>
      <w:pPr>
        <w:pStyle w:val="2"/>
        <w:rPr>
          <w:rFonts w:hint="eastAsia" w:ascii="宋体" w:hAnsi="宋体" w:eastAsia="宋体" w:cs="宋体"/>
          <w:color w:val="auto"/>
          <w:sz w:val="21"/>
          <w:szCs w:val="21"/>
          <w:highlight w:val="none"/>
        </w:rPr>
      </w:pPr>
    </w:p>
    <w:p>
      <w:pPr>
        <w:pStyle w:val="2"/>
        <w:rPr>
          <w:rFonts w:hint="eastAsia" w:ascii="宋体" w:hAnsi="宋体" w:eastAsia="宋体" w:cs="宋体"/>
          <w:color w:val="auto"/>
          <w:sz w:val="21"/>
          <w:szCs w:val="21"/>
          <w:highlight w:val="none"/>
        </w:rPr>
      </w:pPr>
    </w:p>
    <w:p>
      <w:pPr>
        <w:pStyle w:val="2"/>
        <w:rPr>
          <w:rFonts w:hint="eastAsia" w:ascii="宋体" w:hAnsi="宋体" w:eastAsia="宋体" w:cs="宋体"/>
          <w:color w:val="auto"/>
          <w:sz w:val="21"/>
          <w:szCs w:val="21"/>
          <w:highlight w:val="none"/>
        </w:rPr>
      </w:pPr>
    </w:p>
    <w:p>
      <w:pPr>
        <w:pStyle w:val="2"/>
        <w:rPr>
          <w:rFonts w:hint="eastAsia" w:ascii="宋体" w:hAnsi="宋体" w:eastAsia="宋体" w:cs="宋体"/>
          <w:color w:val="auto"/>
          <w:sz w:val="21"/>
          <w:szCs w:val="21"/>
          <w:highlight w:val="none"/>
        </w:rPr>
      </w:pPr>
    </w:p>
    <w:p>
      <w:pPr>
        <w:spacing w:line="360" w:lineRule="auto"/>
        <w:rPr>
          <w:rFonts w:hint="eastAsia" w:ascii="宋体" w:hAnsi="宋体" w:eastAsia="宋体" w:cs="宋体"/>
          <w:color w:val="auto"/>
          <w:sz w:val="21"/>
          <w:szCs w:val="21"/>
          <w:highlight w:val="none"/>
        </w:rPr>
      </w:pPr>
    </w:p>
    <w:p>
      <w:pPr>
        <w:spacing w:line="360" w:lineRule="auto"/>
        <w:rPr>
          <w:rFonts w:hint="eastAsia" w:ascii="宋体" w:hAnsi="宋体" w:eastAsia="宋体" w:cs="宋体"/>
          <w:color w:val="auto"/>
          <w:sz w:val="21"/>
          <w:szCs w:val="21"/>
          <w:highlight w:val="none"/>
        </w:rPr>
      </w:pPr>
    </w:p>
    <w:p>
      <w:pPr>
        <w:jc w:val="center"/>
        <w:rPr>
          <w:rFonts w:hint="eastAsia" w:ascii="宋体" w:hAnsi="宋体" w:eastAsia="宋体" w:cs="宋体"/>
          <w:b/>
          <w:bCs/>
          <w:color w:val="auto"/>
          <w:sz w:val="21"/>
          <w:szCs w:val="21"/>
          <w:highlight w:val="none"/>
        </w:rPr>
      </w:pPr>
    </w:p>
    <w:p>
      <w:pPr>
        <w:jc w:val="center"/>
        <w:rPr>
          <w:rFonts w:hint="eastAsia" w:ascii="宋体" w:hAnsi="宋体" w:eastAsia="宋体" w:cs="宋体"/>
          <w:b/>
          <w:bCs/>
          <w:color w:val="auto"/>
          <w:sz w:val="21"/>
          <w:szCs w:val="21"/>
          <w:highlight w:val="none"/>
        </w:rPr>
      </w:pPr>
    </w:p>
    <w:p>
      <w:pPr>
        <w:ind w:firstLine="4006" w:firstLineChars="19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目</w:t>
      </w:r>
      <w:r>
        <w:rPr>
          <w:rFonts w:hint="eastAsia" w:ascii="宋体" w:hAnsi="宋体" w:eastAsia="宋体" w:cs="宋体"/>
          <w:b/>
          <w:bCs/>
          <w:color w:val="auto"/>
          <w:sz w:val="21"/>
          <w:szCs w:val="21"/>
          <w:highlight w:val="none"/>
        </w:rPr>
        <w:t xml:space="preserve"> </w:t>
      </w:r>
      <w:r>
        <w:rPr>
          <w:rFonts w:hint="eastAsia" w:ascii="宋体" w:hAnsi="宋体" w:eastAsia="宋体" w:cs="宋体"/>
          <w:b/>
          <w:bCs/>
          <w:color w:val="auto"/>
          <w:sz w:val="21"/>
          <w:szCs w:val="21"/>
          <w:highlight w:val="none"/>
        </w:rPr>
        <w:t xml:space="preserve">  录</w:t>
      </w:r>
    </w:p>
    <w:p>
      <w:pPr>
        <w:tabs>
          <w:tab w:val="right" w:leader="dot" w:pos="9460"/>
          <w:tab w:val="right" w:pos="12180"/>
          <w:tab w:val="right" w:pos="14280"/>
          <w:tab w:val="right" w:leader="dot" w:pos="16380"/>
        </w:tabs>
        <w:spacing w:line="400" w:lineRule="exact"/>
        <w:ind w:right="4620" w:rightChars="2200" w:firstLine="1293" w:firstLineChars="616"/>
        <w:jc w:val="left"/>
        <w:outlineLvl w:val="0"/>
        <w:rPr>
          <w:rFonts w:hint="eastAsia" w:ascii="宋体" w:hAnsi="宋体" w:eastAsia="宋体" w:cs="宋体"/>
          <w:color w:val="auto"/>
          <w:sz w:val="21"/>
          <w:szCs w:val="21"/>
          <w:highlight w:val="none"/>
        </w:rPr>
      </w:pPr>
    </w:p>
    <w:p>
      <w:pPr>
        <w:pStyle w:val="2"/>
        <w:tabs>
          <w:tab w:val="right" w:leader="middleDot" w:pos="9660"/>
        </w:tabs>
        <w:spacing w:line="360" w:lineRule="auto"/>
        <w:ind w:firstLine="48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 总则</w:t>
      </w:r>
      <w:r>
        <w:rPr>
          <w:rFonts w:hint="eastAsia" w:ascii="宋体" w:hAnsi="宋体" w:eastAsia="宋体" w:cs="宋体"/>
          <w:b/>
          <w:bCs/>
          <w:color w:val="auto"/>
          <w:sz w:val="21"/>
          <w:szCs w:val="21"/>
          <w:highlight w:val="none"/>
        </w:rPr>
        <w:tab/>
      </w:r>
      <w:r>
        <w:rPr>
          <w:rFonts w:hint="eastAsia" w:ascii="宋体" w:hAnsi="宋体" w:eastAsia="宋体" w:cs="宋体"/>
          <w:b/>
          <w:bCs/>
          <w:color w:val="auto"/>
          <w:sz w:val="21"/>
          <w:szCs w:val="21"/>
          <w:highlight w:val="none"/>
        </w:rPr>
        <w:t>1</w:t>
      </w:r>
    </w:p>
    <w:p>
      <w:pPr>
        <w:pStyle w:val="2"/>
        <w:tabs>
          <w:tab w:val="right" w:leader="middleDot" w:pos="9660"/>
        </w:tabs>
        <w:spacing w:line="360" w:lineRule="auto"/>
        <w:ind w:firstLine="632" w:firstLineChars="3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1.1 目的</w:t>
      </w:r>
      <w:r>
        <w:rPr>
          <w:rFonts w:hint="eastAsia" w:ascii="宋体" w:hAnsi="宋体" w:eastAsia="宋体" w:cs="宋体"/>
          <w:b/>
          <w:bCs/>
          <w:color w:val="auto"/>
          <w:sz w:val="21"/>
          <w:szCs w:val="21"/>
          <w:highlight w:val="none"/>
        </w:rPr>
        <w:tab/>
      </w:r>
      <w:r>
        <w:rPr>
          <w:rFonts w:hint="eastAsia" w:ascii="宋体" w:hAnsi="宋体" w:eastAsia="宋体" w:cs="宋体"/>
          <w:b/>
          <w:bCs/>
          <w:color w:val="auto"/>
          <w:sz w:val="21"/>
          <w:szCs w:val="21"/>
          <w:highlight w:val="none"/>
        </w:rPr>
        <w:t>1</w:t>
      </w:r>
    </w:p>
    <w:p>
      <w:pPr>
        <w:pStyle w:val="2"/>
        <w:tabs>
          <w:tab w:val="right" w:leader="middleDot" w:pos="9660"/>
        </w:tabs>
        <w:spacing w:line="360" w:lineRule="auto"/>
        <w:ind w:firstLine="632" w:firstLineChars="3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1.2 编制依据</w:t>
      </w:r>
      <w:r>
        <w:rPr>
          <w:rFonts w:hint="eastAsia" w:ascii="宋体" w:hAnsi="宋体" w:eastAsia="宋体" w:cs="宋体"/>
          <w:b/>
          <w:bCs/>
          <w:color w:val="auto"/>
          <w:sz w:val="21"/>
          <w:szCs w:val="21"/>
          <w:highlight w:val="none"/>
        </w:rPr>
        <w:tab/>
      </w:r>
      <w:r>
        <w:rPr>
          <w:rFonts w:hint="eastAsia" w:ascii="宋体" w:hAnsi="宋体" w:eastAsia="宋体" w:cs="宋体"/>
          <w:b/>
          <w:bCs/>
          <w:color w:val="auto"/>
          <w:sz w:val="21"/>
          <w:szCs w:val="21"/>
          <w:highlight w:val="none"/>
        </w:rPr>
        <w:t>1</w:t>
      </w:r>
    </w:p>
    <w:p>
      <w:pPr>
        <w:pStyle w:val="2"/>
        <w:tabs>
          <w:tab w:val="right" w:leader="middleDot" w:pos="9660"/>
        </w:tabs>
        <w:spacing w:line="360" w:lineRule="auto"/>
        <w:ind w:firstLine="632" w:firstLineChars="3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1.3 适用范围</w:t>
      </w:r>
      <w:r>
        <w:rPr>
          <w:rFonts w:hint="eastAsia" w:ascii="宋体" w:hAnsi="宋体" w:eastAsia="宋体" w:cs="宋体"/>
          <w:b/>
          <w:bCs/>
          <w:color w:val="auto"/>
          <w:sz w:val="21"/>
          <w:szCs w:val="21"/>
          <w:highlight w:val="none"/>
        </w:rPr>
        <w:tab/>
      </w:r>
      <w:r>
        <w:rPr>
          <w:rFonts w:hint="eastAsia" w:ascii="宋体" w:hAnsi="宋体" w:eastAsia="宋体" w:cs="宋体"/>
          <w:b/>
          <w:bCs/>
          <w:color w:val="auto"/>
          <w:sz w:val="21"/>
          <w:szCs w:val="21"/>
          <w:highlight w:val="none"/>
        </w:rPr>
        <w:t>1</w:t>
      </w:r>
    </w:p>
    <w:p>
      <w:pPr>
        <w:pStyle w:val="2"/>
        <w:tabs>
          <w:tab w:val="right" w:leader="middleDot" w:pos="9660"/>
        </w:tabs>
        <w:spacing w:line="360" w:lineRule="auto"/>
        <w:ind w:firstLine="48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 行为准则</w:t>
      </w:r>
      <w:r>
        <w:rPr>
          <w:rFonts w:hint="eastAsia" w:ascii="宋体" w:hAnsi="宋体" w:eastAsia="宋体" w:cs="宋体"/>
          <w:b/>
          <w:bCs/>
          <w:color w:val="auto"/>
          <w:sz w:val="21"/>
          <w:szCs w:val="21"/>
          <w:highlight w:val="none"/>
        </w:rPr>
        <w:tab/>
      </w:r>
      <w:r>
        <w:rPr>
          <w:rFonts w:hint="eastAsia" w:ascii="宋体" w:hAnsi="宋体" w:eastAsia="宋体" w:cs="宋体"/>
          <w:b/>
          <w:bCs/>
          <w:color w:val="auto"/>
          <w:sz w:val="21"/>
          <w:szCs w:val="21"/>
          <w:highlight w:val="none"/>
        </w:rPr>
        <w:t>1</w:t>
      </w:r>
    </w:p>
    <w:p>
      <w:pPr>
        <w:pStyle w:val="2"/>
        <w:tabs>
          <w:tab w:val="right" w:leader="middleDot" w:pos="9660"/>
        </w:tabs>
        <w:spacing w:line="360" w:lineRule="auto"/>
        <w:ind w:firstLine="632" w:firstLineChars="3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2.1 基本要求</w:t>
      </w:r>
      <w:r>
        <w:rPr>
          <w:rFonts w:hint="eastAsia" w:ascii="宋体" w:hAnsi="宋体" w:eastAsia="宋体" w:cs="宋体"/>
          <w:b/>
          <w:bCs/>
          <w:color w:val="auto"/>
          <w:sz w:val="21"/>
          <w:szCs w:val="21"/>
          <w:highlight w:val="none"/>
        </w:rPr>
        <w:tab/>
      </w:r>
      <w:r>
        <w:rPr>
          <w:rFonts w:hint="eastAsia" w:ascii="宋体" w:hAnsi="宋体" w:eastAsia="宋体" w:cs="宋体"/>
          <w:b/>
          <w:bCs/>
          <w:color w:val="auto"/>
          <w:sz w:val="21"/>
          <w:szCs w:val="21"/>
          <w:highlight w:val="none"/>
        </w:rPr>
        <w:t>1</w:t>
      </w:r>
    </w:p>
    <w:p>
      <w:pPr>
        <w:pStyle w:val="2"/>
        <w:tabs>
          <w:tab w:val="right" w:leader="middleDot" w:pos="9660"/>
        </w:tabs>
        <w:spacing w:line="360" w:lineRule="auto"/>
        <w:ind w:firstLine="632" w:firstLineChars="300"/>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rPr>
        <w:t>2.2 质量行为要求</w:t>
      </w:r>
      <w:r>
        <w:rPr>
          <w:rFonts w:hint="eastAsia" w:ascii="宋体" w:hAnsi="宋体" w:eastAsia="宋体" w:cs="宋体"/>
          <w:b/>
          <w:bCs/>
          <w:color w:val="auto"/>
          <w:sz w:val="21"/>
          <w:szCs w:val="21"/>
          <w:highlight w:val="none"/>
        </w:rPr>
        <w:tab/>
      </w:r>
      <w:r>
        <w:rPr>
          <w:rFonts w:hint="eastAsia" w:ascii="宋体" w:hAnsi="宋体" w:eastAsia="宋体" w:cs="宋体"/>
          <w:b/>
          <w:bCs/>
          <w:color w:val="auto"/>
          <w:sz w:val="21"/>
          <w:szCs w:val="21"/>
          <w:highlight w:val="none"/>
          <w:lang w:val="en-US" w:eastAsia="zh-CN"/>
        </w:rPr>
        <w:t>3</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2.2.1 建设单位</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3</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2.2.2 勘察单位、设计单位</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6</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2.2.3 施工单位</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6</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2.2.4 监理单位</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8</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2.2.5 检测单位</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10</w:t>
      </w:r>
    </w:p>
    <w:p>
      <w:pPr>
        <w:pStyle w:val="2"/>
        <w:tabs>
          <w:tab w:val="right" w:leader="middleDot" w:pos="9660"/>
        </w:tabs>
        <w:spacing w:line="360" w:lineRule="auto"/>
        <w:ind w:firstLine="482"/>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rPr>
        <w:t>3 工程实体质量</w:t>
      </w:r>
      <w:r>
        <w:rPr>
          <w:rFonts w:hint="eastAsia" w:ascii="宋体" w:hAnsi="宋体" w:eastAsia="宋体" w:cs="宋体"/>
          <w:b/>
          <w:bCs/>
          <w:color w:val="auto"/>
          <w:sz w:val="21"/>
          <w:szCs w:val="21"/>
          <w:highlight w:val="none"/>
        </w:rPr>
        <w:tab/>
      </w:r>
      <w:r>
        <w:rPr>
          <w:rFonts w:hint="eastAsia" w:ascii="宋体" w:hAnsi="宋体" w:eastAsia="宋体" w:cs="宋体"/>
          <w:b/>
          <w:bCs/>
          <w:color w:val="auto"/>
          <w:sz w:val="21"/>
          <w:szCs w:val="21"/>
          <w:highlight w:val="none"/>
          <w:lang w:val="en-US" w:eastAsia="zh-CN"/>
        </w:rPr>
        <w:t>11</w:t>
      </w:r>
    </w:p>
    <w:p>
      <w:pPr>
        <w:pStyle w:val="2"/>
        <w:tabs>
          <w:tab w:val="right" w:leader="middleDot" w:pos="9660"/>
        </w:tabs>
        <w:spacing w:line="360" w:lineRule="auto"/>
        <w:ind w:firstLine="632" w:firstLineChars="300"/>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rPr>
        <w:t>3.1 燃气厂站</w:t>
      </w:r>
      <w:r>
        <w:rPr>
          <w:rFonts w:hint="eastAsia" w:ascii="宋体" w:hAnsi="宋体" w:eastAsia="宋体" w:cs="宋体"/>
          <w:b/>
          <w:bCs/>
          <w:color w:val="auto"/>
          <w:sz w:val="21"/>
          <w:szCs w:val="21"/>
          <w:highlight w:val="none"/>
        </w:rPr>
        <w:tab/>
      </w:r>
      <w:r>
        <w:rPr>
          <w:rFonts w:hint="eastAsia" w:ascii="宋体" w:hAnsi="宋体" w:eastAsia="宋体" w:cs="宋体"/>
          <w:b/>
          <w:bCs/>
          <w:color w:val="auto"/>
          <w:sz w:val="21"/>
          <w:szCs w:val="21"/>
          <w:highlight w:val="none"/>
          <w:lang w:val="en-US" w:eastAsia="zh-CN"/>
        </w:rPr>
        <w:t>11</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3.1.1 一般要求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11</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3.1.2 材料设备的检查验收与装卸、运输、存放</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t>11</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3.1.3 设备基础</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13</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3.1.4 工艺设备安装</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4</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3.1.5 工艺管道安装</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t>16</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3.1.6 电气安装</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8</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3.1.7 防雷防静电安装</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1</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3.1.8 仪表及自控安装</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21</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3.1.9 给排水</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5</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3.1.10 钢网架工程</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5</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3.1.11 安全附件校验</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6</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3.1.12 设备调试</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6</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3.1.13 仪表试验</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7</w:t>
      </w:r>
    </w:p>
    <w:p>
      <w:pPr>
        <w:pStyle w:val="2"/>
        <w:tabs>
          <w:tab w:val="right" w:leader="middleDot" w:pos="9660"/>
        </w:tabs>
        <w:spacing w:line="360" w:lineRule="auto"/>
        <w:ind w:firstLine="632" w:firstLineChars="300"/>
        <w:rPr>
          <w:rFonts w:hint="default"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rPr>
        <w:t>3.2 管道和调压设施（用户燃气计量表前）</w:t>
      </w:r>
      <w:r>
        <w:rPr>
          <w:rFonts w:hint="eastAsia" w:ascii="宋体" w:hAnsi="宋体" w:eastAsia="宋体" w:cs="宋体"/>
          <w:b/>
          <w:bCs/>
          <w:color w:val="auto"/>
          <w:sz w:val="21"/>
          <w:szCs w:val="21"/>
          <w:highlight w:val="none"/>
        </w:rPr>
        <w:tab/>
      </w:r>
      <w:r>
        <w:rPr>
          <w:rFonts w:hint="eastAsia" w:ascii="宋体" w:hAnsi="宋体" w:eastAsia="宋体" w:cs="宋体"/>
          <w:b/>
          <w:bCs/>
          <w:color w:val="auto"/>
          <w:sz w:val="21"/>
          <w:szCs w:val="21"/>
          <w:highlight w:val="none"/>
          <w:lang w:val="en-US" w:eastAsia="zh-CN"/>
        </w:rPr>
        <w:t>30</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3.2.1 土方工程</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30</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3.2.2 材料设备的检查验收与装卸、运输、存放</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32</w:t>
      </w:r>
    </w:p>
    <w:p>
      <w:pPr>
        <w:pStyle w:val="2"/>
        <w:tabs>
          <w:tab w:val="right" w:leader="middleDot" w:pos="9660"/>
        </w:tabs>
        <w:spacing w:line="360" w:lineRule="auto"/>
        <w:ind w:firstLine="840" w:firstLineChars="4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3.2.3 埋地管道敷设</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35</w:t>
      </w:r>
    </w:p>
    <w:p>
      <w:pPr>
        <w:pStyle w:val="2"/>
        <w:tabs>
          <w:tab w:val="right" w:leader="middleDot" w:pos="9660"/>
        </w:tabs>
        <w:spacing w:line="360" w:lineRule="auto"/>
        <w:ind w:firstLine="840" w:firstLineChars="400"/>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3.2.4 架空管道敷设</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44</w:t>
      </w:r>
    </w:p>
    <w:p>
      <w:pPr>
        <w:pStyle w:val="2"/>
        <w:tabs>
          <w:tab w:val="right" w:leader="middleDot" w:pos="9660"/>
        </w:tabs>
        <w:spacing w:line="360" w:lineRule="auto"/>
        <w:ind w:firstLine="840" w:firstLineChars="400"/>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3.2.5 穿跨越管道敷设</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45</w:t>
      </w:r>
    </w:p>
    <w:p>
      <w:pPr>
        <w:pStyle w:val="2"/>
        <w:tabs>
          <w:tab w:val="right" w:leader="middleDot" w:pos="9660"/>
        </w:tabs>
        <w:spacing w:line="360" w:lineRule="auto"/>
        <w:ind w:firstLine="840" w:firstLineChars="400"/>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3.2.6 管道附件与设备安装</w:t>
      </w:r>
      <w:r>
        <w:rPr>
          <w:rFonts w:hint="eastAsia" w:ascii="宋体" w:hAnsi="宋体" w:eastAsia="宋体" w:cs="宋体"/>
          <w:color w:val="auto"/>
          <w:sz w:val="21"/>
          <w:szCs w:val="21"/>
          <w:highlight w:val="none"/>
          <w:lang w:val="en-US" w:eastAsia="zh-CN"/>
        </w:rPr>
        <w:t>及锚固</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48</w:t>
      </w:r>
    </w:p>
    <w:p>
      <w:pPr>
        <w:pStyle w:val="2"/>
        <w:tabs>
          <w:tab w:val="right" w:leader="middleDot" w:pos="9660"/>
        </w:tabs>
        <w:spacing w:line="360" w:lineRule="auto"/>
        <w:ind w:firstLine="840" w:firstLineChars="400"/>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3.2.7 管道防腐</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50</w:t>
      </w:r>
    </w:p>
    <w:p>
      <w:pPr>
        <w:pStyle w:val="2"/>
        <w:tabs>
          <w:tab w:val="right" w:leader="middleDot" w:pos="9660"/>
        </w:tabs>
        <w:spacing w:line="360" w:lineRule="auto"/>
        <w:ind w:firstLine="840" w:firstLineChars="400"/>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3.2.8 管道吹扫、清管、测径、试压、干燥</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52</w:t>
      </w:r>
    </w:p>
    <w:p>
      <w:pPr>
        <w:pStyle w:val="2"/>
        <w:tabs>
          <w:tab w:val="right" w:leader="middleDot" w:pos="9660"/>
        </w:tabs>
        <w:spacing w:line="360" w:lineRule="auto"/>
        <w:ind w:firstLine="840" w:firstLineChars="400"/>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3.2.9 管道标志</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54</w:t>
      </w:r>
    </w:p>
    <w:p>
      <w:pPr>
        <w:pStyle w:val="2"/>
        <w:tabs>
          <w:tab w:val="right" w:leader="middleDot" w:pos="9660"/>
        </w:tabs>
        <w:spacing w:line="360" w:lineRule="auto"/>
        <w:ind w:firstLine="840" w:firstLineChars="400"/>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3.2.10 调压设施</w:t>
      </w:r>
      <w:r>
        <w:rPr>
          <w:rFonts w:hint="eastAsia" w:ascii="宋体" w:hAnsi="宋体" w:eastAsia="宋体" w:cs="宋体"/>
          <w:color w:val="auto"/>
          <w:sz w:val="21"/>
          <w:szCs w:val="21"/>
          <w:highlight w:val="none"/>
          <w:lang w:val="en-US" w:eastAsia="zh-CN"/>
        </w:rPr>
        <w:tab/>
      </w:r>
      <w:r>
        <w:rPr>
          <w:rFonts w:hint="eastAsia" w:ascii="宋体" w:hAnsi="宋体" w:eastAsia="宋体" w:cs="宋体"/>
          <w:color w:val="auto"/>
          <w:sz w:val="21"/>
          <w:szCs w:val="21"/>
          <w:highlight w:val="none"/>
          <w:lang w:val="en-US" w:eastAsia="zh-CN"/>
        </w:rPr>
        <w:t>54</w:t>
      </w:r>
    </w:p>
    <w:p>
      <w:pPr>
        <w:pStyle w:val="2"/>
        <w:tabs>
          <w:tab w:val="right" w:leader="middleDot" w:pos="9660"/>
        </w:tabs>
        <w:spacing w:line="360" w:lineRule="auto"/>
        <w:ind w:firstLine="840" w:firstLineChars="400"/>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3.2.1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 xml:space="preserve"> 用户管道（用户燃气计量表前）</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lang w:val="en-US" w:eastAsia="zh-CN"/>
        </w:rPr>
        <w:t>55</w:t>
      </w:r>
    </w:p>
    <w:p>
      <w:pPr>
        <w:pStyle w:val="2"/>
        <w:tabs>
          <w:tab w:val="right" w:leader="middleDot" w:pos="9660"/>
        </w:tabs>
        <w:spacing w:line="360" w:lineRule="auto"/>
        <w:ind w:firstLine="482"/>
        <w:rPr>
          <w:rFonts w:hint="default"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rPr>
        <w:t>4 质量管理资料</w:t>
      </w:r>
      <w:r>
        <w:rPr>
          <w:rFonts w:hint="eastAsia" w:ascii="宋体" w:hAnsi="宋体" w:eastAsia="宋体" w:cs="宋体"/>
          <w:b/>
          <w:bCs/>
          <w:color w:val="auto"/>
          <w:sz w:val="21"/>
          <w:szCs w:val="21"/>
          <w:highlight w:val="none"/>
        </w:rPr>
        <w:tab/>
      </w:r>
      <w:r>
        <w:rPr>
          <w:rFonts w:hint="eastAsia" w:ascii="宋体" w:hAnsi="宋体" w:eastAsia="宋体" w:cs="宋体"/>
          <w:b/>
          <w:bCs/>
          <w:color w:val="auto"/>
          <w:sz w:val="21"/>
          <w:szCs w:val="21"/>
          <w:highlight w:val="none"/>
          <w:lang w:val="en-US" w:eastAsia="zh-CN"/>
        </w:rPr>
        <w:t>55</w:t>
      </w:r>
    </w:p>
    <w:p>
      <w:pPr>
        <w:pStyle w:val="2"/>
        <w:tabs>
          <w:tab w:val="right" w:leader="middleDot" w:pos="9660"/>
        </w:tabs>
        <w:spacing w:line="360" w:lineRule="auto"/>
        <w:ind w:firstLine="632" w:firstLineChars="300"/>
        <w:rPr>
          <w:rFonts w:hint="default"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rPr>
        <w:t>4.1 建筑材料进场检验资料</w:t>
      </w:r>
      <w:r>
        <w:rPr>
          <w:rFonts w:hint="eastAsia" w:ascii="宋体" w:hAnsi="宋体" w:eastAsia="宋体" w:cs="宋体"/>
          <w:b/>
          <w:bCs/>
          <w:color w:val="auto"/>
          <w:sz w:val="21"/>
          <w:szCs w:val="21"/>
          <w:highlight w:val="none"/>
        </w:rPr>
        <w:tab/>
      </w:r>
      <w:r>
        <w:rPr>
          <w:rFonts w:hint="eastAsia" w:ascii="宋体" w:hAnsi="宋体" w:eastAsia="宋体" w:cs="宋体"/>
          <w:b/>
          <w:bCs/>
          <w:color w:val="auto"/>
          <w:sz w:val="21"/>
          <w:szCs w:val="21"/>
          <w:highlight w:val="none"/>
          <w:lang w:val="en-US" w:eastAsia="zh-CN"/>
        </w:rPr>
        <w:t>55</w:t>
      </w:r>
    </w:p>
    <w:p>
      <w:pPr>
        <w:pStyle w:val="2"/>
        <w:tabs>
          <w:tab w:val="right" w:leader="middleDot" w:pos="9660"/>
        </w:tabs>
        <w:spacing w:line="360" w:lineRule="auto"/>
        <w:ind w:firstLine="632" w:firstLineChars="300"/>
        <w:rPr>
          <w:rFonts w:hint="default"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rPr>
        <w:t>4.2 施工试验检测资料</w:t>
      </w:r>
      <w:r>
        <w:rPr>
          <w:rFonts w:hint="eastAsia" w:ascii="宋体" w:hAnsi="宋体" w:eastAsia="宋体" w:cs="宋体"/>
          <w:b/>
          <w:bCs/>
          <w:color w:val="auto"/>
          <w:sz w:val="21"/>
          <w:szCs w:val="21"/>
          <w:highlight w:val="none"/>
        </w:rPr>
        <w:tab/>
      </w:r>
      <w:r>
        <w:rPr>
          <w:rFonts w:hint="eastAsia" w:ascii="宋体" w:hAnsi="宋体" w:eastAsia="宋体" w:cs="宋体"/>
          <w:b/>
          <w:bCs/>
          <w:color w:val="auto"/>
          <w:sz w:val="21"/>
          <w:szCs w:val="21"/>
          <w:highlight w:val="none"/>
          <w:lang w:val="en-US" w:eastAsia="zh-CN"/>
        </w:rPr>
        <w:t>56</w:t>
      </w:r>
    </w:p>
    <w:p>
      <w:pPr>
        <w:pStyle w:val="2"/>
        <w:tabs>
          <w:tab w:val="right" w:leader="middleDot" w:pos="9660"/>
        </w:tabs>
        <w:spacing w:line="360" w:lineRule="auto"/>
        <w:ind w:firstLine="632" w:firstLineChars="300"/>
        <w:rPr>
          <w:rFonts w:hint="default"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rPr>
        <w:t>4.3 施工记录</w:t>
      </w:r>
      <w:r>
        <w:rPr>
          <w:rFonts w:hint="eastAsia" w:ascii="宋体" w:hAnsi="宋体" w:eastAsia="宋体" w:cs="宋体"/>
          <w:b/>
          <w:bCs/>
          <w:color w:val="auto"/>
          <w:sz w:val="21"/>
          <w:szCs w:val="21"/>
          <w:highlight w:val="none"/>
        </w:rPr>
        <w:tab/>
      </w:r>
      <w:r>
        <w:rPr>
          <w:rFonts w:hint="eastAsia" w:ascii="宋体" w:hAnsi="宋体" w:eastAsia="宋体" w:cs="宋体"/>
          <w:b/>
          <w:bCs/>
          <w:color w:val="auto"/>
          <w:sz w:val="21"/>
          <w:szCs w:val="21"/>
          <w:highlight w:val="none"/>
          <w:lang w:val="en-US" w:eastAsia="zh-CN"/>
        </w:rPr>
        <w:t>60</w:t>
      </w:r>
    </w:p>
    <w:p>
      <w:pPr>
        <w:pStyle w:val="2"/>
        <w:tabs>
          <w:tab w:val="right" w:leader="middleDot" w:pos="9660"/>
        </w:tabs>
        <w:spacing w:line="360" w:lineRule="auto"/>
        <w:ind w:firstLine="632" w:firstLineChars="300"/>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rPr>
        <w:t>4.4 质量验收记录</w:t>
      </w:r>
      <w:r>
        <w:rPr>
          <w:rFonts w:hint="eastAsia" w:ascii="宋体" w:hAnsi="宋体" w:eastAsia="宋体" w:cs="宋体"/>
          <w:b/>
          <w:bCs/>
          <w:color w:val="auto"/>
          <w:sz w:val="21"/>
          <w:szCs w:val="21"/>
          <w:highlight w:val="none"/>
        </w:rPr>
        <w:tab/>
      </w:r>
      <w:r>
        <w:rPr>
          <w:rFonts w:hint="eastAsia" w:ascii="宋体" w:hAnsi="宋体" w:eastAsia="宋体" w:cs="宋体"/>
          <w:b/>
          <w:bCs/>
          <w:color w:val="auto"/>
          <w:sz w:val="21"/>
          <w:szCs w:val="21"/>
          <w:highlight w:val="none"/>
          <w:lang w:val="en-US" w:eastAsia="zh-CN"/>
        </w:rPr>
        <w:t>63</w:t>
      </w:r>
    </w:p>
    <w:p>
      <w:pPr>
        <w:pStyle w:val="2"/>
        <w:tabs>
          <w:tab w:val="right" w:leader="middleDot" w:pos="9660"/>
        </w:tabs>
        <w:spacing w:line="360" w:lineRule="auto"/>
        <w:ind w:firstLine="482"/>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rPr>
        <w:t>5 附则</w:t>
      </w:r>
      <w:r>
        <w:rPr>
          <w:rFonts w:hint="eastAsia" w:ascii="宋体" w:hAnsi="宋体" w:eastAsia="宋体" w:cs="宋体"/>
          <w:b/>
          <w:bCs/>
          <w:color w:val="auto"/>
          <w:sz w:val="21"/>
          <w:szCs w:val="21"/>
          <w:highlight w:val="none"/>
        </w:rPr>
        <w:tab/>
      </w:r>
      <w:r>
        <w:rPr>
          <w:rFonts w:hint="eastAsia" w:ascii="宋体" w:hAnsi="宋体" w:eastAsia="宋体" w:cs="宋体"/>
          <w:b/>
          <w:bCs/>
          <w:color w:val="auto"/>
          <w:sz w:val="21"/>
          <w:szCs w:val="21"/>
          <w:highlight w:val="none"/>
          <w:lang w:val="en-US" w:eastAsia="zh-CN"/>
        </w:rPr>
        <w:t>64</w:t>
      </w:r>
    </w:p>
    <w:p>
      <w:pPr>
        <w:pStyle w:val="2"/>
        <w:spacing w:line="360" w:lineRule="auto"/>
        <w:ind w:firstLine="482"/>
        <w:rPr>
          <w:rFonts w:hint="eastAsia" w:ascii="宋体" w:hAnsi="宋体" w:eastAsia="宋体" w:cs="宋体"/>
          <w:b/>
          <w:bCs/>
          <w:color w:val="auto"/>
          <w:sz w:val="21"/>
          <w:szCs w:val="21"/>
          <w:highlight w:val="none"/>
        </w:rPr>
      </w:pPr>
    </w:p>
    <w:p>
      <w:pPr>
        <w:pStyle w:val="2"/>
        <w:rPr>
          <w:rFonts w:hint="eastAsia" w:ascii="宋体" w:hAnsi="宋体" w:eastAsia="宋体" w:cs="宋体"/>
          <w:color w:val="auto"/>
          <w:sz w:val="21"/>
          <w:szCs w:val="21"/>
          <w:highlight w:val="none"/>
        </w:rPr>
      </w:pPr>
    </w:p>
    <w:p>
      <w:pPr>
        <w:pStyle w:val="2"/>
        <w:rPr>
          <w:rFonts w:hint="eastAsia" w:ascii="宋体" w:hAnsi="宋体" w:eastAsia="宋体" w:cs="宋体"/>
          <w:color w:val="auto"/>
          <w:sz w:val="21"/>
          <w:szCs w:val="21"/>
          <w:highlight w:val="none"/>
        </w:rPr>
      </w:pPr>
    </w:p>
    <w:p>
      <w:pPr>
        <w:pStyle w:val="2"/>
        <w:rPr>
          <w:rFonts w:hint="eastAsia" w:ascii="宋体" w:hAnsi="宋体" w:eastAsia="宋体" w:cs="宋体"/>
          <w:color w:val="auto"/>
          <w:sz w:val="21"/>
          <w:szCs w:val="21"/>
          <w:highlight w:val="none"/>
        </w:rPr>
      </w:pPr>
    </w:p>
    <w:p>
      <w:pPr>
        <w:tabs>
          <w:tab w:val="right" w:leader="dot" w:pos="7980"/>
          <w:tab w:val="right" w:leader="dot" w:pos="16380"/>
        </w:tabs>
        <w:spacing w:line="400" w:lineRule="exact"/>
        <w:jc w:val="left"/>
        <w:rPr>
          <w:rFonts w:hint="eastAsia" w:ascii="宋体" w:hAnsi="宋体" w:eastAsia="宋体" w:cs="宋体"/>
          <w:color w:val="auto"/>
          <w:sz w:val="21"/>
          <w:szCs w:val="21"/>
          <w:highlight w:val="none"/>
        </w:rPr>
      </w:pPr>
    </w:p>
    <w:p>
      <w:pPr>
        <w:tabs>
          <w:tab w:val="right" w:leader="dot" w:pos="7980"/>
          <w:tab w:val="right" w:leader="dot" w:pos="16380"/>
        </w:tabs>
        <w:rPr>
          <w:rFonts w:hint="eastAsia" w:ascii="宋体" w:hAnsi="宋体" w:eastAsia="宋体" w:cs="宋体"/>
          <w:color w:val="auto"/>
          <w:sz w:val="21"/>
          <w:szCs w:val="21"/>
          <w:highlight w:val="none"/>
        </w:rPr>
        <w:sectPr>
          <w:headerReference r:id="rId4" w:type="default"/>
          <w:footerReference r:id="rId5" w:type="default"/>
          <w:type w:val="continuous"/>
          <w:pgSz w:w="23814" w:h="16839" w:orient="landscape"/>
          <w:pgMar w:top="1418" w:right="1304" w:bottom="1134" w:left="1304" w:header="851" w:footer="992" w:gutter="0"/>
          <w:pgNumType w:start="1"/>
          <w:cols w:equalWidth="0" w:num="2">
            <w:col w:w="10403" w:space="412"/>
            <w:col w:w="10390"/>
          </w:cols>
          <w:docGrid w:type="lines" w:linePitch="312" w:charSpace="0"/>
        </w:sectPr>
      </w:pPr>
    </w:p>
    <w:p>
      <w:pPr>
        <w:spacing w:line="240" w:lineRule="exact"/>
        <w:rPr>
          <w:rFonts w:hint="eastAsia" w:ascii="宋体" w:hAnsi="宋体" w:eastAsia="宋体" w:cs="宋体"/>
          <w:color w:val="auto"/>
          <w:sz w:val="21"/>
          <w:szCs w:val="21"/>
          <w:highlight w:val="none"/>
        </w:rPr>
      </w:pPr>
    </w:p>
    <w:p>
      <w:pPr>
        <w:rPr>
          <w:rFonts w:hint="eastAsia" w:ascii="宋体" w:hAnsi="宋体" w:eastAsia="宋体" w:cs="宋体"/>
          <w:color w:val="auto"/>
          <w:sz w:val="21"/>
          <w:szCs w:val="21"/>
          <w:highlight w:val="none"/>
        </w:rPr>
        <w:sectPr>
          <w:footerReference r:id="rId6" w:type="default"/>
          <w:pgSz w:w="23814" w:h="16839" w:orient="landscape"/>
          <w:pgMar w:top="1418" w:right="1304" w:bottom="1134" w:left="1304" w:header="851" w:footer="992" w:gutter="0"/>
          <w:pgNumType w:start="1"/>
          <w:cols w:space="425" w:num="1"/>
          <w:docGrid w:type="lines" w:linePitch="312" w:charSpace="0"/>
        </w:sectPr>
      </w:pPr>
    </w:p>
    <w:tbl>
      <w:tblPr>
        <w:tblStyle w:val="20"/>
        <w:tblW w:w="214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1259"/>
        <w:gridCol w:w="1119"/>
        <w:gridCol w:w="2882"/>
        <w:gridCol w:w="4027"/>
        <w:gridCol w:w="11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1056" w:type="dxa"/>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b/>
                <w:color w:val="auto"/>
                <w:spacing w:val="-6"/>
                <w:sz w:val="21"/>
                <w:szCs w:val="21"/>
                <w:highlight w:val="none"/>
              </w:rPr>
            </w:pPr>
            <w:r>
              <w:rPr>
                <w:rFonts w:hint="eastAsia" w:ascii="宋体" w:hAnsi="宋体" w:eastAsia="宋体" w:cs="宋体"/>
                <w:b/>
                <w:color w:val="auto"/>
                <w:spacing w:val="-6"/>
                <w:sz w:val="21"/>
                <w:szCs w:val="21"/>
                <w:highlight w:val="none"/>
              </w:rPr>
              <w:t>编号</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b/>
                <w:color w:val="auto"/>
                <w:spacing w:val="-6"/>
                <w:sz w:val="21"/>
                <w:szCs w:val="21"/>
                <w:highlight w:val="none"/>
              </w:rPr>
            </w:pPr>
            <w:r>
              <w:rPr>
                <w:rFonts w:hint="eastAsia" w:ascii="宋体" w:hAnsi="宋体" w:eastAsia="宋体" w:cs="宋体"/>
                <w:b/>
                <w:color w:val="auto"/>
                <w:spacing w:val="-6"/>
                <w:sz w:val="21"/>
                <w:szCs w:val="21"/>
                <w:highlight w:val="none"/>
              </w:rPr>
              <w:t>类别</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b/>
                <w:color w:val="auto"/>
                <w:spacing w:val="-6"/>
                <w:sz w:val="21"/>
                <w:szCs w:val="21"/>
                <w:highlight w:val="none"/>
              </w:rPr>
            </w:pPr>
            <w:r>
              <w:rPr>
                <w:rFonts w:hint="eastAsia" w:ascii="宋体" w:hAnsi="宋体" w:eastAsia="宋体" w:cs="宋体"/>
                <w:b/>
                <w:color w:val="auto"/>
                <w:spacing w:val="-6"/>
                <w:sz w:val="21"/>
                <w:szCs w:val="21"/>
                <w:highlight w:val="none"/>
              </w:rPr>
              <w:t>实施对象</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b/>
                <w:color w:val="auto"/>
                <w:spacing w:val="-6"/>
                <w:sz w:val="21"/>
                <w:szCs w:val="21"/>
                <w:highlight w:val="none"/>
              </w:rPr>
            </w:pPr>
            <w:r>
              <w:rPr>
                <w:rFonts w:hint="eastAsia" w:ascii="宋体" w:hAnsi="宋体" w:eastAsia="宋体" w:cs="宋体"/>
                <w:b/>
                <w:color w:val="auto"/>
                <w:spacing w:val="-6"/>
                <w:sz w:val="21"/>
                <w:szCs w:val="21"/>
                <w:highlight w:val="none"/>
              </w:rPr>
              <w:t>实施内容</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b/>
                <w:color w:val="auto"/>
                <w:spacing w:val="-6"/>
                <w:sz w:val="21"/>
                <w:szCs w:val="21"/>
                <w:highlight w:val="none"/>
              </w:rPr>
            </w:pPr>
            <w:r>
              <w:rPr>
                <w:rFonts w:hint="eastAsia" w:ascii="宋体" w:hAnsi="宋体" w:eastAsia="宋体" w:cs="宋体"/>
                <w:b/>
                <w:color w:val="auto"/>
                <w:spacing w:val="-6"/>
                <w:sz w:val="21"/>
                <w:szCs w:val="21"/>
                <w:highlight w:val="none"/>
              </w:rPr>
              <w:t>实施依据</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b/>
                <w:color w:val="auto"/>
                <w:spacing w:val="-6"/>
                <w:sz w:val="21"/>
                <w:szCs w:val="21"/>
                <w:highlight w:val="none"/>
              </w:rPr>
            </w:pPr>
            <w:r>
              <w:rPr>
                <w:rFonts w:hint="eastAsia" w:ascii="宋体" w:hAnsi="宋体" w:eastAsia="宋体" w:cs="宋体"/>
                <w:b/>
                <w:color w:val="auto"/>
                <w:spacing w:val="-6"/>
                <w:sz w:val="21"/>
                <w:szCs w:val="21"/>
                <w:highlight w:val="none"/>
              </w:rPr>
              <w:t>实施要点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outlineLvl w:val="0"/>
              <w:rPr>
                <w:rFonts w:hint="eastAsia" w:ascii="宋体" w:hAnsi="宋体" w:eastAsia="宋体" w:cs="宋体"/>
                <w:b/>
                <w:bCs/>
                <w:color w:val="auto"/>
                <w:spacing w:val="-6"/>
                <w:sz w:val="21"/>
                <w:szCs w:val="21"/>
                <w:highlight w:val="none"/>
              </w:rPr>
            </w:pPr>
            <w:r>
              <w:rPr>
                <w:rFonts w:hint="eastAsia" w:ascii="宋体" w:hAnsi="宋体" w:eastAsia="宋体" w:cs="宋体"/>
                <w:b/>
                <w:bCs/>
                <w:color w:val="auto"/>
                <w:spacing w:val="-6"/>
                <w:sz w:val="21"/>
                <w:szCs w:val="21"/>
                <w:highlight w:val="none"/>
              </w:rPr>
              <w:t>1</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outlineLvl w:val="0"/>
              <w:rPr>
                <w:rFonts w:hint="eastAsia" w:ascii="宋体" w:hAnsi="宋体" w:eastAsia="宋体" w:cs="宋体"/>
                <w:b/>
                <w:bCs/>
                <w:color w:val="auto"/>
                <w:spacing w:val="-6"/>
                <w:sz w:val="21"/>
                <w:szCs w:val="21"/>
                <w:highlight w:val="none"/>
              </w:rPr>
            </w:pPr>
            <w:r>
              <w:rPr>
                <w:rFonts w:hint="eastAsia" w:ascii="宋体" w:hAnsi="宋体" w:eastAsia="宋体" w:cs="宋体"/>
                <w:b/>
                <w:bCs/>
                <w:color w:val="auto"/>
                <w:spacing w:val="-6"/>
                <w:sz w:val="21"/>
                <w:szCs w:val="21"/>
                <w:highlight w:val="none"/>
              </w:rPr>
              <w:t>总则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outlineLvl w:val="1"/>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1.1</w:t>
            </w:r>
          </w:p>
        </w:tc>
        <w:tc>
          <w:tcPr>
            <w:tcW w:w="2378" w:type="dxa"/>
            <w:gridSpan w:val="2"/>
            <w:vAlign w:val="center"/>
          </w:tcPr>
          <w:p>
            <w:pPr>
              <w:keepNext w:val="0"/>
              <w:keepLines w:val="0"/>
              <w:pageBreakBefore w:val="0"/>
              <w:kinsoku/>
              <w:wordWrap/>
              <w:overflowPunct/>
              <w:topLinePunct w:val="0"/>
              <w:autoSpaceDE/>
              <w:autoSpaceDN/>
              <w:bidi w:val="0"/>
              <w:spacing w:line="260" w:lineRule="atLeast"/>
              <w:ind w:left="0"/>
              <w:jc w:val="left"/>
              <w:outlineLvl w:val="1"/>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目的</w:t>
            </w:r>
          </w:p>
        </w:tc>
        <w:tc>
          <w:tcPr>
            <w:tcW w:w="17969" w:type="dxa"/>
            <w:gridSpan w:val="3"/>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进一步完善企业质量管理体系，规范企业质量行为，夯实企业质量主体责任，奠定我省燃气工程质量标准化建设的基石，切实保障工程质量，提高人民群众满意度，推动燃气工程高标准高质量发展。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outlineLvl w:val="2"/>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1.2</w:t>
            </w:r>
          </w:p>
        </w:tc>
        <w:tc>
          <w:tcPr>
            <w:tcW w:w="2378" w:type="dxa"/>
            <w:gridSpan w:val="2"/>
            <w:vAlign w:val="center"/>
          </w:tcPr>
          <w:p>
            <w:pPr>
              <w:keepNext w:val="0"/>
              <w:keepLines w:val="0"/>
              <w:pageBreakBefore w:val="0"/>
              <w:kinsoku/>
              <w:wordWrap/>
              <w:overflowPunct/>
              <w:topLinePunct w:val="0"/>
              <w:autoSpaceDE/>
              <w:autoSpaceDN/>
              <w:bidi w:val="0"/>
              <w:spacing w:line="260" w:lineRule="atLeast"/>
              <w:ind w:left="0"/>
              <w:jc w:val="left"/>
              <w:outlineLvl w:val="2"/>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编制依据</w:t>
            </w:r>
          </w:p>
        </w:tc>
        <w:tc>
          <w:tcPr>
            <w:tcW w:w="17969" w:type="dxa"/>
            <w:gridSpan w:val="3"/>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（一）法律法规</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1.《建筑法》（1997年主席令第91号；2019年第二次修正）；2.</w:t>
            </w:r>
            <w:r>
              <w:rPr>
                <w:rStyle w:val="142"/>
                <w:rFonts w:hint="eastAsia" w:ascii="宋体" w:hAnsi="宋体" w:eastAsia="宋体" w:cs="宋体"/>
                <w:color w:val="auto"/>
                <w:sz w:val="21"/>
                <w:szCs w:val="21"/>
                <w:highlight w:val="none"/>
              </w:rPr>
              <w:t>《建设工程质量管理条例》（</w:t>
            </w:r>
            <w:r>
              <w:rPr>
                <w:rStyle w:val="143"/>
                <w:rFonts w:hint="eastAsia" w:ascii="宋体" w:hAnsi="宋体" w:eastAsia="宋体" w:cs="宋体"/>
                <w:color w:val="auto"/>
                <w:sz w:val="21"/>
                <w:szCs w:val="21"/>
                <w:highlight w:val="none"/>
              </w:rPr>
              <w:t>2000</w:t>
            </w:r>
            <w:r>
              <w:rPr>
                <w:rStyle w:val="142"/>
                <w:rFonts w:hint="eastAsia" w:ascii="宋体" w:hAnsi="宋体" w:eastAsia="宋体" w:cs="宋体"/>
                <w:color w:val="auto"/>
                <w:sz w:val="21"/>
                <w:szCs w:val="21"/>
                <w:highlight w:val="none"/>
              </w:rPr>
              <w:t>年国务院令第</w:t>
            </w:r>
            <w:r>
              <w:rPr>
                <w:rStyle w:val="143"/>
                <w:rFonts w:hint="eastAsia" w:ascii="宋体" w:hAnsi="宋体" w:eastAsia="宋体" w:cs="宋体"/>
                <w:color w:val="auto"/>
                <w:sz w:val="21"/>
                <w:szCs w:val="21"/>
                <w:highlight w:val="none"/>
              </w:rPr>
              <w:t>279</w:t>
            </w:r>
            <w:r>
              <w:rPr>
                <w:rStyle w:val="142"/>
                <w:rFonts w:hint="eastAsia" w:ascii="宋体" w:hAnsi="宋体" w:eastAsia="宋体" w:cs="宋体"/>
                <w:color w:val="auto"/>
                <w:sz w:val="21"/>
                <w:szCs w:val="21"/>
                <w:highlight w:val="none"/>
              </w:rPr>
              <w:t>号；</w:t>
            </w:r>
            <w:r>
              <w:rPr>
                <w:rStyle w:val="143"/>
                <w:rFonts w:hint="eastAsia" w:ascii="宋体" w:hAnsi="宋体" w:eastAsia="宋体" w:cs="宋体"/>
                <w:color w:val="auto"/>
                <w:sz w:val="21"/>
                <w:szCs w:val="21"/>
                <w:highlight w:val="none"/>
              </w:rPr>
              <w:t>2019</w:t>
            </w:r>
            <w:r>
              <w:rPr>
                <w:rStyle w:val="142"/>
                <w:rFonts w:hint="eastAsia" w:ascii="宋体" w:hAnsi="宋体" w:eastAsia="宋体" w:cs="宋体"/>
                <w:color w:val="auto"/>
                <w:sz w:val="21"/>
                <w:szCs w:val="21"/>
                <w:highlight w:val="none"/>
              </w:rPr>
              <w:t>年第二次修订）；</w:t>
            </w:r>
            <w:r>
              <w:rPr>
                <w:rFonts w:hint="eastAsia" w:ascii="宋体" w:hAnsi="宋体" w:eastAsia="宋体" w:cs="宋体"/>
                <w:color w:val="auto"/>
                <w:spacing w:val="-6"/>
                <w:sz w:val="21"/>
                <w:szCs w:val="21"/>
                <w:highlight w:val="none"/>
              </w:rPr>
              <w:t>3.《城镇燃气管理条例》（</w:t>
            </w:r>
            <w:r>
              <w:rPr>
                <w:rFonts w:hint="eastAsia" w:ascii="宋体" w:hAnsi="宋体" w:eastAsia="宋体" w:cs="宋体"/>
                <w:color w:val="auto"/>
                <w:sz w:val="21"/>
                <w:szCs w:val="21"/>
                <w:highlight w:val="none"/>
                <w:shd w:val="clear" w:color="auto" w:fill="FFFFFF"/>
              </w:rPr>
              <w:t>国务院令第583号</w:t>
            </w:r>
            <w:r>
              <w:rPr>
                <w:rFonts w:hint="eastAsia" w:ascii="宋体" w:hAnsi="宋体" w:eastAsia="宋体" w:cs="宋体"/>
                <w:color w:val="auto"/>
                <w:spacing w:val="-6"/>
                <w:sz w:val="21"/>
                <w:szCs w:val="21"/>
                <w:highlight w:val="none"/>
              </w:rPr>
              <w:t xml:space="preserve">）；4.《建设工程勘察设计管理条例》（国务院令第293号）；5.《江苏省燃气管理条例》（江苏省人大常委会公告第28号）等。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（二）规章</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1.《房屋建筑和市政基础设施工程施工图设计文件审查管理办法》（住房城乡建设部令第46号）；2.《建筑工程施工许可管理办法》（住房城乡建设部令第42号）；3.《建设工程质量检测管理办法》（建设部令第141号）；4.《房屋建筑和市政基础设施工程质量监督管理规定》（住房城乡建设部令第5号）；5.《房屋建筑和市政基础设施工程竣工验收备案管理办法》（住房城乡建设部令第2号）；6.《江苏省房屋建筑和市政基础设施工程质量监督管理办法》（江苏省人民政府令第89号）等。</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（三）文件</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1.《国务院办公厅转发住房城乡建设部关于完善质量保障体系提升建筑工程品质指导意见的通知》（国办函</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2019</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92号）；2.《住房城乡建设部关于印发工程质量安全手册（试行）的通知》（建质〔2018〕95号）；3.《住房和城乡建设部关于落实建设单位工程质量首要责任的通知》（建质规〔2020〕9号）；4.《住房城乡建设部关于印发</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建筑工程五方责任主体项目负责人质量终身责任追究暂行办法</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的通知》（建质〔2014〕124号）；5.《江苏省建设工程质量检测管理实施细则》（苏建法〔2006〕97号）；6.《江苏省住房和城乡建设厅关于印发</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落实建设单位工程质量首要责任实施意见</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的通知》（苏建规字〔2021〕3号）等。</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（四）有关工程建设标准。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outlineLvl w:val="1"/>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1.3</w:t>
            </w:r>
          </w:p>
        </w:tc>
        <w:tc>
          <w:tcPr>
            <w:tcW w:w="2378" w:type="dxa"/>
            <w:gridSpan w:val="2"/>
            <w:vAlign w:val="center"/>
          </w:tcPr>
          <w:p>
            <w:pPr>
              <w:keepNext w:val="0"/>
              <w:keepLines w:val="0"/>
              <w:pageBreakBefore w:val="0"/>
              <w:kinsoku/>
              <w:wordWrap/>
              <w:overflowPunct/>
              <w:topLinePunct w:val="0"/>
              <w:autoSpaceDE/>
              <w:autoSpaceDN/>
              <w:bidi w:val="0"/>
              <w:spacing w:line="260" w:lineRule="atLeast"/>
              <w:ind w:left="0"/>
              <w:jc w:val="left"/>
              <w:outlineLvl w:val="1"/>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适用范围</w:t>
            </w:r>
          </w:p>
        </w:tc>
        <w:tc>
          <w:tcPr>
            <w:tcW w:w="17969" w:type="dxa"/>
            <w:gridSpan w:val="3"/>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燃气工程质量管理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pacing w:val="-6"/>
                <w:sz w:val="21"/>
                <w:szCs w:val="21"/>
                <w:highlight w:val="none"/>
              </w:rPr>
            </w:pPr>
            <w:r>
              <w:rPr>
                <w:rFonts w:hint="eastAsia" w:ascii="宋体" w:hAnsi="宋体" w:eastAsia="宋体" w:cs="宋体"/>
                <w:b/>
                <w:bCs/>
                <w:color w:val="auto"/>
                <w:spacing w:val="-6"/>
                <w:sz w:val="21"/>
                <w:szCs w:val="21"/>
                <w:highlight w:val="none"/>
              </w:rPr>
              <w:t>2</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pacing w:val="-6"/>
                <w:sz w:val="21"/>
                <w:szCs w:val="21"/>
                <w:highlight w:val="none"/>
              </w:rPr>
            </w:pPr>
            <w:r>
              <w:rPr>
                <w:rFonts w:hint="eastAsia" w:ascii="宋体" w:hAnsi="宋体" w:eastAsia="宋体" w:cs="宋体"/>
                <w:b/>
                <w:bCs/>
                <w:color w:val="auto"/>
                <w:spacing w:val="-6"/>
                <w:sz w:val="21"/>
                <w:szCs w:val="21"/>
                <w:highlight w:val="none"/>
              </w:rPr>
              <w:t>行为准则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pacing w:val="-6"/>
                <w:sz w:val="21"/>
                <w:szCs w:val="21"/>
                <w:highlight w:val="none"/>
              </w:rPr>
            </w:pPr>
            <w:r>
              <w:rPr>
                <w:rFonts w:hint="eastAsia" w:ascii="宋体" w:hAnsi="宋体" w:eastAsia="宋体" w:cs="宋体"/>
                <w:b/>
                <w:bCs/>
                <w:color w:val="auto"/>
                <w:spacing w:val="-6"/>
                <w:sz w:val="21"/>
                <w:szCs w:val="21"/>
                <w:highlight w:val="none"/>
              </w:rPr>
              <w:t>2.1</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pacing w:val="-6"/>
                <w:sz w:val="21"/>
                <w:szCs w:val="21"/>
                <w:highlight w:val="none"/>
              </w:rPr>
            </w:pPr>
            <w:r>
              <w:rPr>
                <w:rFonts w:hint="eastAsia" w:ascii="宋体" w:hAnsi="宋体" w:eastAsia="宋体" w:cs="宋体"/>
                <w:b/>
                <w:bCs/>
                <w:color w:val="auto"/>
                <w:spacing w:val="-6"/>
                <w:sz w:val="21"/>
                <w:szCs w:val="21"/>
                <w:highlight w:val="none"/>
              </w:rPr>
              <w:t>基本要求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2.1.1</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基本要求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勘察单位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设计单位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检测单位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建设、勘察、设计、施工、监理、检测等单位依法对工程质量负责。</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《建筑法》（1997年主席令第91号；2019年第二次修正）</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第一章第三条 建设单位、勘察单位、设计单位、施工单位、工程监理单位依法对建设工程质量负责。</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第二章 建设单位的质量责任和义务</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第三章 勘察单位、设计单位的质量责任和义务</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第四章 施工单位的质量责任和义务</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第五章 工程监理单位的质量责任义务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lang w:val="en-US" w:eastAsia="zh-CN"/>
              </w:rPr>
            </w:pPr>
            <w:r>
              <w:rPr>
                <w:rFonts w:hint="eastAsia" w:ascii="宋体" w:hAnsi="宋体" w:eastAsia="宋体" w:cs="宋体"/>
                <w:color w:val="auto"/>
                <w:spacing w:val="-6"/>
                <w:sz w:val="21"/>
                <w:szCs w:val="21"/>
                <w:highlight w:val="none"/>
              </w:rPr>
              <w:t>《建设工程质量检测管理办法》（建设部令第141号）</w:t>
            </w:r>
          </w:p>
        </w:tc>
        <w:tc>
          <w:tcPr>
            <w:tcW w:w="11060" w:type="dxa"/>
            <w:vAlign w:val="center"/>
          </w:tcPr>
          <w:p>
            <w:pPr>
              <w:keepNext w:val="0"/>
              <w:keepLines w:val="0"/>
              <w:pageBreakBefore w:val="0"/>
              <w:kinsoku/>
              <w:wordWrap/>
              <w:overflowPunct/>
              <w:topLinePunct w:val="0"/>
              <w:autoSpaceDE/>
              <w:autoSpaceDN/>
              <w:bidi w:val="0"/>
              <w:spacing w:line="260" w:lineRule="atLeast"/>
              <w:ind w:left="210" w:leftChars="0" w:hanging="210" w:hangingChars="10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第十八条</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检测机构应当对其检测数据和检测报告的真实性和准确性负责。</w:t>
            </w:r>
            <w:r>
              <w:rPr>
                <w:rFonts w:hint="eastAsia" w:ascii="宋体" w:hAnsi="宋体" w:eastAsia="宋体" w:cs="宋体"/>
                <w:color w:val="auto"/>
                <w:sz w:val="21"/>
                <w:szCs w:val="21"/>
                <w:highlight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260" w:lineRule="atLeast"/>
              <w:ind w:left="0" w:leftChars="0" w:firstLine="210" w:firstLineChars="100"/>
              <w:jc w:val="left"/>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检测机构违反法律、法规和工程建设强制性标准，给他人造成损失的，应当依法承担相应的赔偿责任。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lang w:val="en-US" w:eastAsia="zh-CN"/>
              </w:rPr>
            </w:pPr>
            <w:r>
              <w:rPr>
                <w:rFonts w:hint="eastAsia" w:ascii="宋体" w:hAnsi="宋体" w:eastAsia="宋体" w:cs="宋体"/>
                <w:color w:val="auto"/>
                <w:spacing w:val="-6"/>
                <w:sz w:val="21"/>
                <w:szCs w:val="21"/>
                <w:highlight w:val="none"/>
              </w:rPr>
              <w:t>《建筑与市政工程施工质量控制通用规范》GB55032-2022</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Style w:val="144"/>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2.0.1</w:t>
            </w:r>
            <w:r>
              <w:rPr>
                <w:rStyle w:val="144"/>
                <w:rFonts w:hint="eastAsia" w:ascii="宋体" w:hAnsi="宋体" w:eastAsia="宋体" w:cs="宋体"/>
                <w:color w:val="auto"/>
                <w:sz w:val="21"/>
                <w:szCs w:val="21"/>
                <w:highlight w:val="none"/>
                <w:lang w:val="en-US" w:eastAsia="zh-CN"/>
              </w:rPr>
              <w:t xml:space="preserve"> </w:t>
            </w:r>
            <w:r>
              <w:rPr>
                <w:rStyle w:val="144"/>
                <w:rFonts w:hint="eastAsia" w:ascii="宋体" w:hAnsi="宋体" w:eastAsia="宋体" w:cs="宋体"/>
                <w:color w:val="auto"/>
                <w:sz w:val="21"/>
                <w:szCs w:val="21"/>
                <w:highlight w:val="none"/>
              </w:rPr>
              <w:t>工程项目施工应建立项目质量管理体系，明确质量责任人及岗位职责，建立质量责任追溯制度。</w:t>
            </w:r>
          </w:p>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u w:val="none"/>
                <w:lang w:val="en-US" w:eastAsia="zh-CN" w:bidi="ar-SA"/>
              </w:rPr>
            </w:pPr>
            <w:r>
              <w:rPr>
                <w:rStyle w:val="144"/>
                <w:rFonts w:hint="eastAsia" w:ascii="宋体" w:hAnsi="宋体" w:eastAsia="宋体" w:cs="宋体"/>
                <w:color w:val="auto"/>
                <w:sz w:val="21"/>
                <w:szCs w:val="21"/>
                <w:highlight w:val="none"/>
              </w:rPr>
              <w:t>2.0.3</w:t>
            </w:r>
            <w:r>
              <w:rPr>
                <w:rStyle w:val="144"/>
                <w:rFonts w:hint="eastAsia" w:ascii="宋体" w:hAnsi="宋体" w:eastAsia="宋体" w:cs="宋体"/>
                <w:color w:val="auto"/>
                <w:sz w:val="21"/>
                <w:szCs w:val="21"/>
                <w:highlight w:val="none"/>
                <w:lang w:val="en-US" w:eastAsia="zh-CN"/>
              </w:rPr>
              <w:t xml:space="preserve"> </w:t>
            </w:r>
            <w:r>
              <w:rPr>
                <w:rStyle w:val="144"/>
                <w:rFonts w:hint="eastAsia" w:ascii="宋体" w:hAnsi="宋体" w:eastAsia="宋体" w:cs="宋体"/>
                <w:color w:val="auto"/>
                <w:sz w:val="21"/>
                <w:szCs w:val="21"/>
                <w:highlight w:val="none"/>
              </w:rPr>
              <w:t>工程项目各方的工程建设合同，应明确具体质量标准、各方质量控制的权利与责任。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lang w:val="en-US" w:eastAsia="zh-CN"/>
              </w:rPr>
            </w:pPr>
            <w:r>
              <w:rPr>
                <w:rFonts w:hint="eastAsia" w:ascii="宋体" w:hAnsi="宋体" w:eastAsia="宋体" w:cs="宋体"/>
                <w:color w:val="auto"/>
                <w:spacing w:val="-6"/>
                <w:sz w:val="21"/>
                <w:szCs w:val="21"/>
                <w:highlight w:val="none"/>
              </w:rPr>
              <w:t>《江苏省房屋建筑和市政基础设施工程质量监督管理办法》（江苏省人民政府令第89号）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第二十一条第三款质量检测单位应当履行下列工程质量义务：</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kern w:val="2"/>
                <w:sz w:val="21"/>
                <w:szCs w:val="21"/>
                <w:highlight w:val="none"/>
                <w:u w:val="none"/>
                <w:lang w:val="en-US" w:eastAsia="zh-CN" w:bidi="ar-SA"/>
              </w:rPr>
            </w:pPr>
            <w:r>
              <w:rPr>
                <w:rFonts w:hint="eastAsia" w:ascii="宋体" w:hAnsi="宋体" w:eastAsia="宋体" w:cs="宋体"/>
                <w:color w:val="auto"/>
                <w:spacing w:val="-6"/>
                <w:sz w:val="21"/>
                <w:szCs w:val="21"/>
                <w:highlight w:val="none"/>
              </w:rPr>
              <w:t>（三）按照规定出具检测报告，检测数据必须准确真实，不得弄虚作假</w:t>
            </w:r>
            <w:r>
              <w:rPr>
                <w:rFonts w:hint="eastAsia" w:ascii="宋体" w:hAnsi="宋体" w:eastAsia="宋体" w:cs="宋体"/>
                <w:color w:val="auto"/>
                <w:spacing w:val="-6"/>
                <w:sz w:val="21"/>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lang w:eastAsia="zh-CN"/>
              </w:rPr>
            </w:pPr>
            <w:r>
              <w:rPr>
                <w:rFonts w:hint="eastAsia" w:ascii="宋体" w:hAnsi="宋体" w:eastAsia="宋体" w:cs="宋体"/>
                <w:color w:val="auto"/>
                <w:spacing w:val="-6"/>
                <w:sz w:val="21"/>
                <w:szCs w:val="21"/>
                <w:highlight w:val="none"/>
              </w:rPr>
              <w:t>《江苏省住房和城乡建设厅关于印发</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落实建设单位工程质量首要责任实施意见</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的通知》（苏建规字〔2021〕3号）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lang w:val="en-US" w:eastAsia="zh-CN"/>
              </w:rPr>
            </w:pPr>
            <w:r>
              <w:rPr>
                <w:rFonts w:hint="eastAsia" w:ascii="宋体" w:hAnsi="宋体" w:eastAsia="宋体" w:cs="宋体"/>
                <w:color w:val="auto"/>
                <w:spacing w:val="-6"/>
                <w:sz w:val="21"/>
                <w:szCs w:val="21"/>
                <w:highlight w:val="none"/>
                <w:lang w:val="en-US" w:eastAsia="zh-CN"/>
              </w:rPr>
              <w:t>全文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2.1.2</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基本要求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勘察单位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设计单位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检测单位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勘察、设计、施工、监理、检测等单位应当依法取得资质证书，并在其资质等级许可的范围内从事建设工程活动。</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《建筑法》（1997年主席令第91号；2019年第二次修正）</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第十三条 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《建设工程质量检测管理办法》（建设部令第141号）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pacing w:val="-6"/>
                <w:sz w:val="21"/>
                <w:szCs w:val="21"/>
                <w:highlight w:val="none"/>
              </w:rPr>
              <w:t>第四条</w:t>
            </w:r>
            <w:r>
              <w:rPr>
                <w:rFonts w:hint="eastAsia" w:ascii="宋体" w:hAnsi="宋体" w:eastAsia="宋体" w:cs="宋体"/>
                <w:color w:val="auto"/>
                <w:sz w:val="21"/>
                <w:szCs w:val="21"/>
                <w:highlight w:val="none"/>
              </w:rPr>
              <w:t>第一款 检测机构是具有独立法人资格的中介机构。检测机构从事本办法附件一规定的质量检测业务，应当依据本办法取得相应的资质证书。</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z w:val="21"/>
                <w:szCs w:val="21"/>
                <w:highlight w:val="none"/>
              </w:rPr>
              <w:t>第四条第三款 检测机构未取得相应的资质证书，不得承担本办法规定的质量检测业务。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lang w:val="en-US" w:eastAsia="zh-CN"/>
              </w:rPr>
            </w:pPr>
            <w:r>
              <w:rPr>
                <w:rFonts w:hint="eastAsia" w:ascii="宋体" w:hAnsi="宋体" w:eastAsia="宋体" w:cs="宋体"/>
                <w:color w:val="auto"/>
                <w:spacing w:val="-6"/>
                <w:sz w:val="21"/>
                <w:szCs w:val="21"/>
                <w:highlight w:val="none"/>
              </w:rPr>
              <w:t>《江苏省房屋建筑和市政基础设施工程质量监督管理办法》（江苏省人民政府令第89号）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第二十一条第一款</w:t>
            </w:r>
            <w:r>
              <w:rPr>
                <w:rFonts w:hint="eastAsia" w:ascii="宋体" w:hAnsi="宋体" w:eastAsia="宋体" w:cs="宋体"/>
                <w:color w:val="auto"/>
                <w:spacing w:val="-6"/>
                <w:sz w:val="21"/>
                <w:szCs w:val="21"/>
                <w:highlight w:val="none"/>
                <w:lang w:val="en-US" w:eastAsia="zh-CN"/>
              </w:rPr>
              <w:t xml:space="preserve"> </w:t>
            </w:r>
            <w:r>
              <w:rPr>
                <w:rFonts w:hint="eastAsia" w:ascii="宋体" w:hAnsi="宋体" w:eastAsia="宋体" w:cs="宋体"/>
                <w:color w:val="auto"/>
                <w:spacing w:val="-6"/>
                <w:sz w:val="21"/>
                <w:szCs w:val="21"/>
                <w:highlight w:val="none"/>
              </w:rPr>
              <w:t>质量检测单位应当履行下列工程质量义务：</w:t>
            </w:r>
          </w:p>
          <w:p>
            <w:pPr>
              <w:keepNext w:val="0"/>
              <w:keepLines w:val="0"/>
              <w:pageBreakBefore w:val="0"/>
              <w:widowControl w:val="0"/>
              <w:kinsoku/>
              <w:wordWrap/>
              <w:overflowPunct/>
              <w:topLinePunct w:val="0"/>
              <w:autoSpaceDE/>
              <w:autoSpaceDN/>
              <w:bidi w:val="0"/>
              <w:adjustRightInd/>
              <w:snapToGrid/>
              <w:spacing w:line="260" w:lineRule="atLeast"/>
              <w:ind w:left="0" w:firstLine="198" w:firstLineChars="100"/>
              <w:jc w:val="left"/>
              <w:textAlignment w:val="auto"/>
              <w:rPr>
                <w:rFonts w:hint="eastAsia" w:ascii="宋体" w:hAnsi="宋体" w:eastAsia="宋体" w:cs="宋体"/>
                <w:color w:val="auto"/>
                <w:spacing w:val="-6"/>
                <w:sz w:val="21"/>
                <w:szCs w:val="21"/>
                <w:highlight w:val="none"/>
                <w:lang w:val="en-US" w:eastAsia="zh-CN"/>
              </w:rPr>
            </w:pPr>
            <w:r>
              <w:rPr>
                <w:rFonts w:hint="eastAsia" w:ascii="宋体" w:hAnsi="宋体" w:eastAsia="宋体" w:cs="宋体"/>
                <w:color w:val="auto"/>
                <w:spacing w:val="-6"/>
                <w:sz w:val="21"/>
                <w:szCs w:val="21"/>
                <w:highlight w:val="none"/>
              </w:rPr>
              <w:t>（一）在资质范围内从事检测活动，不得转包检测业务；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2.1.3</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基本要求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勘察单位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设计单位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勘察、设计、施工、监理等单位的法定代表人应当签署授权委托书，明确各自工程项目负责人；项目负责人应当签署工程质量终身责任承诺书；法定代表人和项目负责人在工程设计使用年限内对工程质量承担相应责任。</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《住房城乡建设部关于印发</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建筑工程五方责任主体项目负责人质量终身责任追究暂行办法</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的通知》（建质〔2014〕124号）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第八条 项目负责人应当在办理工程质量监督手续前签署工程质量终身责任承诺书，连同法定代表人授权书，报工程质量监督机构备案。项目负责人如有更换的，应当按规定办理变更程序，重新签署工程质量终身责任承诺书，连同法定代表人授权书，报工程质量监督机构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《住房城乡建设部办公厅关于严格落实建筑工程质量终身责任承诺制的通知》（建办质〔2014〕44号）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一、对《建筑工程五方责任主体项目负责人质量终身责任追究暂行办法》施行后新开工建设的工程项目，建设单位、勘察单位、设计单位、施工单位</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的法定代表人应当及时签署授权书，明确本单位在该工程的项目负责人。经授权的建设单位项目负责人、勘察单位项目负责人、设计单位项目负责人、施工单位项目经理和监理单位总监理工程师应当在办理工程质量监督手续前签署工程质量终身责任承诺书，连同法定代表人授权书，报工程质量监督机构备案。对未办理授权书、承诺书备案的，住房城乡建设主管部门不予办理工程质量监督手续、不予颁发施工许可证、不予办理工程竣工验收备案。</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二、对已经开工正在建设的工程项目，建设单位、勘察单位、设计单位、施工单位</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的法定代表人应当补签授权书，明确本单位在该工程的项目负责人。经授权的建设单位项目负责人、勘察单位项目负责人、设计单位项目负责人、施工单位项目经理和监理单位总监理工程师应当补签工程质量终身责任承诺书，连同法定代表人授权书，报工程质量监督机构备案。对未办理授权书、承诺书备案的，住房城乡建设主管部门不予办理工程竣工验收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2.1.4</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基本要求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勘察单位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设计单位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从事工程建设活动的专业技术人员应当在注册许可范围和聘用单位业务范围内从业，对签署技术文件的真实性和准确性负责，依法承担质量责任。</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《建筑法》（1997年主席令第91号；2019年第二次修正）</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第十四条 从事建筑活动的专业技术人员，应当依法取得相应的执业资格证书，并在执业资格证书许可的范围内从事建筑活动。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2.1.5</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基本要求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勘察单位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设计单位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lang w:eastAsia="zh-CN"/>
              </w:rPr>
            </w:pPr>
            <w:r>
              <w:rPr>
                <w:rFonts w:hint="eastAsia" w:ascii="宋体" w:hAnsi="宋体" w:eastAsia="宋体" w:cs="宋体"/>
                <w:color w:val="auto"/>
                <w:spacing w:val="-6"/>
                <w:sz w:val="21"/>
                <w:szCs w:val="21"/>
                <w:highlight w:val="none"/>
              </w:rPr>
              <w:t>工程完工后，建设单位应当组织勘察、设计、施工、监理等有关单位进行竣工验收；工程竣工验收合格，方可交付使用</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落实永久性标牌制度。</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Style w:val="144"/>
                <w:rFonts w:hint="eastAsia" w:ascii="宋体" w:hAnsi="宋体" w:eastAsia="宋体" w:cs="宋体"/>
                <w:color w:val="auto"/>
                <w:sz w:val="21"/>
                <w:szCs w:val="21"/>
                <w:highlight w:val="none"/>
              </w:rPr>
              <w:t>《建设工程质量管理条例》（</w:t>
            </w:r>
            <w:r>
              <w:rPr>
                <w:rStyle w:val="145"/>
                <w:rFonts w:hint="eastAsia" w:ascii="宋体" w:hAnsi="宋体" w:eastAsia="宋体" w:cs="宋体"/>
                <w:color w:val="auto"/>
                <w:sz w:val="21"/>
                <w:szCs w:val="21"/>
                <w:highlight w:val="none"/>
              </w:rPr>
              <w:t>2000</w:t>
            </w:r>
            <w:r>
              <w:rPr>
                <w:rStyle w:val="144"/>
                <w:rFonts w:hint="eastAsia" w:ascii="宋体" w:hAnsi="宋体" w:eastAsia="宋体" w:cs="宋体"/>
                <w:color w:val="auto"/>
                <w:sz w:val="21"/>
                <w:szCs w:val="21"/>
                <w:highlight w:val="none"/>
              </w:rPr>
              <w:t>年国务院令第</w:t>
            </w:r>
            <w:r>
              <w:rPr>
                <w:rStyle w:val="145"/>
                <w:rFonts w:hint="eastAsia" w:ascii="宋体" w:hAnsi="宋体" w:eastAsia="宋体" w:cs="宋体"/>
                <w:color w:val="auto"/>
                <w:sz w:val="21"/>
                <w:szCs w:val="21"/>
                <w:highlight w:val="none"/>
              </w:rPr>
              <w:t>279</w:t>
            </w:r>
            <w:r>
              <w:rPr>
                <w:rStyle w:val="144"/>
                <w:rFonts w:hint="eastAsia" w:ascii="宋体" w:hAnsi="宋体" w:eastAsia="宋体" w:cs="宋体"/>
                <w:color w:val="auto"/>
                <w:sz w:val="21"/>
                <w:szCs w:val="21"/>
                <w:highlight w:val="none"/>
              </w:rPr>
              <w:t>号；</w:t>
            </w:r>
            <w:r>
              <w:rPr>
                <w:rStyle w:val="145"/>
                <w:rFonts w:hint="eastAsia" w:ascii="宋体" w:hAnsi="宋体" w:eastAsia="宋体" w:cs="宋体"/>
                <w:color w:val="auto"/>
                <w:sz w:val="21"/>
                <w:szCs w:val="21"/>
                <w:highlight w:val="none"/>
              </w:rPr>
              <w:t>2019</w:t>
            </w:r>
            <w:r>
              <w:rPr>
                <w:rStyle w:val="144"/>
                <w:rFonts w:hint="eastAsia" w:ascii="宋体" w:hAnsi="宋体" w:eastAsia="宋体" w:cs="宋体"/>
                <w:color w:val="auto"/>
                <w:sz w:val="21"/>
                <w:szCs w:val="21"/>
                <w:highlight w:val="none"/>
              </w:rPr>
              <w:t>年第二次修订）</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第十六条第一款 建设单位收到建设工程竣工报告后，应当组织设计、施工、工程监理等有关单位进行竣工验收。</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第十六条第三款 建设工程经验收合格的，方可交付使用。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kern w:val="0"/>
                <w:sz w:val="21"/>
                <w:szCs w:val="21"/>
                <w:highlight w:val="none"/>
              </w:rPr>
              <w:t>《建筑与市政工程施工质量控制通用规范》GB55032-2022</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4.3.4 单位工程完工后，各单位应按下列要求进行工程竣工验收：</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z w:val="21"/>
                <w:szCs w:val="21"/>
                <w:highlight w:val="none"/>
              </w:rPr>
              <w:t>5 建设单位应在竣工预验收合格后组织监理、施工、设计、勘察单位等相关单位项目负责人进行工程竣工验收。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9"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Style w:val="144"/>
                <w:rFonts w:hint="eastAsia" w:ascii="宋体" w:hAnsi="宋体" w:eastAsia="宋体" w:cs="宋体"/>
                <w:color w:val="auto"/>
                <w:sz w:val="21"/>
                <w:szCs w:val="21"/>
                <w:highlight w:val="none"/>
              </w:rPr>
              <w:t>《江苏省房屋建筑和市政基础设施工程质量监督管理办法》（江苏省人民政府令第</w:t>
            </w:r>
            <w:r>
              <w:rPr>
                <w:rStyle w:val="145"/>
                <w:rFonts w:hint="eastAsia" w:ascii="宋体" w:hAnsi="宋体" w:eastAsia="宋体" w:cs="宋体"/>
                <w:color w:val="auto"/>
                <w:sz w:val="21"/>
                <w:szCs w:val="21"/>
                <w:highlight w:val="none"/>
              </w:rPr>
              <w:t>89</w:t>
            </w:r>
            <w:r>
              <w:rPr>
                <w:rStyle w:val="144"/>
                <w:rFonts w:hint="eastAsia" w:ascii="宋体" w:hAnsi="宋体" w:eastAsia="宋体" w:cs="宋体"/>
                <w:color w:val="auto"/>
                <w:sz w:val="21"/>
                <w:szCs w:val="21"/>
                <w:highlight w:val="none"/>
              </w:rPr>
              <w:t>号）</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Style w:val="144"/>
                <w:rFonts w:hint="eastAsia" w:ascii="宋体" w:hAnsi="宋体" w:eastAsia="宋体" w:cs="宋体"/>
                <w:color w:val="auto"/>
                <w:sz w:val="21"/>
                <w:szCs w:val="21"/>
                <w:highlight w:val="none"/>
              </w:rPr>
              <w:t>第十七条第（三）小条</w:t>
            </w:r>
            <w:r>
              <w:rPr>
                <w:rStyle w:val="144"/>
                <w:rFonts w:hint="eastAsia" w:ascii="宋体" w:hAnsi="宋体" w:eastAsia="宋体" w:cs="宋体"/>
                <w:color w:val="auto"/>
                <w:sz w:val="21"/>
                <w:szCs w:val="21"/>
                <w:highlight w:val="none"/>
                <w:lang w:val="en-US" w:eastAsia="zh-CN"/>
              </w:rPr>
              <w:t xml:space="preserve"> </w:t>
            </w:r>
            <w:r>
              <w:rPr>
                <w:rStyle w:val="144"/>
                <w:rFonts w:hint="eastAsia" w:ascii="宋体" w:hAnsi="宋体" w:eastAsia="宋体" w:cs="宋体"/>
                <w:color w:val="auto"/>
                <w:sz w:val="21"/>
                <w:szCs w:val="21"/>
                <w:highlight w:val="none"/>
              </w:rPr>
              <w:t>工程竣工验收合格后，建设单位应当在建筑物明显部位设置永久性标牌，标牌上应当载明建设、勘察、设计、施工、监理等单位名称和项目负责人姓名。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《住房和城乡建设部关于落实建设单位工程质量首要责任的通知》（建质规〔2020〕9号）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五）严格工程竣工验收。建设单位要在收到工程竣工报告后及时组织竣工验收，重大工程或技术复杂工程可邀请有关专家参加，未经验收合格不得交付使用。......加强工程竣工验收资料管理，建立质量终身责任信息档案，落实竣工后永久性标牌制度，强化质量主体责任追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7"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《江苏省住房和城乡建设厅关于印发</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落实建设单位工程质量首要责任实施意见</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的通知》（苏建规字〔2021〕3号）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六）严格竣工验收。建设单位应当在收到工程竣工报告后及时组织勘察、设计、施工、监理等有关单位进行竣工验收，重大工程或者技术复杂工程可邀请有关专家参加。应当在组织竣工验收前将竣工验收的时间、地点等通知负责监督该工程的质量监督机构，自觉接受其对竣工验收的监督。竣工验收过程中严禁弄虚作假，严禁将不合格工程按照合格工程验收。工程未经验收或验收不合格不得交付使用。加强工程竣工验收资料管理，建立各方主体项目负责人质量终身责任信息档案，工程竣工验收合格后及时移交有关部门。落实竣工验收合格后在工程明显部位设置永久性标牌的要求，载明建设单位、勘察单位、设计单位、施工单位</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监理单位名称和项目负责人姓名。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2.1.6</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基本要求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勘察单位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设计单位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燃气设施建设应当与主体工程同步设计、同步施工、同步竣工验收。</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《江苏省燃气管理条例》（江苏省人大常委会公告第28号）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第十一条 城市新区开发、旧区改造工程，新建、扩建、改建道路、桥梁等市政工程和房屋建设工程，按照城镇燃气发展规划需要配套建设燃气设施的，应当与主体工程同步设计、同步施工、同步竣工验收。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2.1.7</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基本要求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勘察单位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设计单位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燃气工程的勘察、设计、施工、监理和设备、材料的选用，应当执行国家和省有关标准和规范。</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《江苏省燃气管理条例》（江苏省人大常委会公告第28号）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第十三条 燃气工程的勘察、设计、施工、监理和设备、材料的选用，应当执行国家和省有关标准和规范。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pacing w:val="-6"/>
                <w:sz w:val="21"/>
                <w:szCs w:val="21"/>
                <w:highlight w:val="none"/>
              </w:rPr>
            </w:pPr>
            <w:r>
              <w:rPr>
                <w:rFonts w:hint="eastAsia" w:ascii="宋体" w:hAnsi="宋体" w:eastAsia="宋体" w:cs="宋体"/>
                <w:b/>
                <w:bCs/>
                <w:color w:val="auto"/>
                <w:spacing w:val="-6"/>
                <w:sz w:val="21"/>
                <w:szCs w:val="21"/>
                <w:highlight w:val="none"/>
              </w:rPr>
              <w:t>2.2</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b/>
                <w:bCs/>
                <w:color w:val="auto"/>
                <w:spacing w:val="-6"/>
                <w:sz w:val="21"/>
                <w:szCs w:val="21"/>
                <w:highlight w:val="none"/>
              </w:rPr>
              <w:t>质量行为要求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pacing w:val="-6"/>
                <w:sz w:val="21"/>
                <w:szCs w:val="21"/>
                <w:highlight w:val="none"/>
              </w:rPr>
            </w:pPr>
            <w:r>
              <w:rPr>
                <w:rFonts w:hint="eastAsia" w:ascii="宋体" w:hAnsi="宋体" w:eastAsia="宋体" w:cs="宋体"/>
                <w:b/>
                <w:bCs/>
                <w:color w:val="auto"/>
                <w:spacing w:val="-6"/>
                <w:sz w:val="21"/>
                <w:szCs w:val="21"/>
                <w:highlight w:val="none"/>
              </w:rPr>
              <w:t>2.2.1</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lang w:eastAsia="zh-CN"/>
              </w:rPr>
            </w:pPr>
            <w:r>
              <w:rPr>
                <w:rFonts w:hint="eastAsia" w:ascii="宋体" w:hAnsi="宋体" w:eastAsia="宋体" w:cs="宋体"/>
                <w:b/>
                <w:bCs/>
                <w:color w:val="auto"/>
                <w:spacing w:val="-6"/>
                <w:sz w:val="21"/>
                <w:szCs w:val="21"/>
                <w:highlight w:val="none"/>
              </w:rPr>
              <w:t>建设单位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2.2.1.1</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严格执行法定程序，依法办理施工许可（工程质量监督手续）、竣工验收备案手续等。</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《建筑法》（1997年主席令第91号；2019年第二次修正）</w:t>
            </w:r>
          </w:p>
        </w:tc>
        <w:tc>
          <w:tcPr>
            <w:tcW w:w="11060" w:type="dxa"/>
            <w:vAlign w:val="center"/>
          </w:tcPr>
          <w:p>
            <w:pPr>
              <w:keepNext w:val="0"/>
              <w:keepLines w:val="0"/>
              <w:pageBreakBefore w:val="0"/>
              <w:numPr>
                <w:ilvl w:val="0"/>
                <w:numId w:val="2"/>
              </w:numPr>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筑工程开工前，建设单位应当按照国家有关规定向工程所在地县级以上人民政府建设行政主管部门申请领取施工许可证；但是，国务院建设行政主管部门确定的限额以下的小型工程除外。按照国务院规定的权限和程序批准开工报告的建筑工程，不再领取施工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Style w:val="144"/>
                <w:rFonts w:hint="eastAsia" w:ascii="宋体" w:hAnsi="宋体" w:eastAsia="宋体" w:cs="宋体"/>
                <w:color w:val="auto"/>
                <w:sz w:val="21"/>
                <w:szCs w:val="21"/>
                <w:highlight w:val="none"/>
              </w:rPr>
              <w:t>《建设工程质量管理条例》（</w:t>
            </w:r>
            <w:r>
              <w:rPr>
                <w:rStyle w:val="145"/>
                <w:rFonts w:hint="eastAsia" w:ascii="宋体" w:hAnsi="宋体" w:eastAsia="宋体" w:cs="宋体"/>
                <w:color w:val="auto"/>
                <w:sz w:val="21"/>
                <w:szCs w:val="21"/>
                <w:highlight w:val="none"/>
              </w:rPr>
              <w:t>2000</w:t>
            </w:r>
            <w:r>
              <w:rPr>
                <w:rStyle w:val="144"/>
                <w:rFonts w:hint="eastAsia" w:ascii="宋体" w:hAnsi="宋体" w:eastAsia="宋体" w:cs="宋体"/>
                <w:color w:val="auto"/>
                <w:sz w:val="21"/>
                <w:szCs w:val="21"/>
                <w:highlight w:val="none"/>
              </w:rPr>
              <w:t>年国务院令第</w:t>
            </w:r>
            <w:r>
              <w:rPr>
                <w:rStyle w:val="145"/>
                <w:rFonts w:hint="eastAsia" w:ascii="宋体" w:hAnsi="宋体" w:eastAsia="宋体" w:cs="宋体"/>
                <w:color w:val="auto"/>
                <w:sz w:val="21"/>
                <w:szCs w:val="21"/>
                <w:highlight w:val="none"/>
              </w:rPr>
              <w:t>279</w:t>
            </w:r>
            <w:r>
              <w:rPr>
                <w:rStyle w:val="144"/>
                <w:rFonts w:hint="eastAsia" w:ascii="宋体" w:hAnsi="宋体" w:eastAsia="宋体" w:cs="宋体"/>
                <w:color w:val="auto"/>
                <w:sz w:val="21"/>
                <w:szCs w:val="21"/>
                <w:highlight w:val="none"/>
              </w:rPr>
              <w:t>号；</w:t>
            </w:r>
            <w:r>
              <w:rPr>
                <w:rStyle w:val="145"/>
                <w:rFonts w:hint="eastAsia" w:ascii="宋体" w:hAnsi="宋体" w:eastAsia="宋体" w:cs="宋体"/>
                <w:color w:val="auto"/>
                <w:sz w:val="21"/>
                <w:szCs w:val="21"/>
                <w:highlight w:val="none"/>
              </w:rPr>
              <w:t>2019</w:t>
            </w:r>
            <w:r>
              <w:rPr>
                <w:rStyle w:val="144"/>
                <w:rFonts w:hint="eastAsia" w:ascii="宋体" w:hAnsi="宋体" w:eastAsia="宋体" w:cs="宋体"/>
                <w:color w:val="auto"/>
                <w:sz w:val="21"/>
                <w:szCs w:val="21"/>
                <w:highlight w:val="none"/>
              </w:rPr>
              <w:t>年第二次修订）</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第十三条 建设单位在开工前，应当按照国家有关规定办理工程质量监督手续，工程质量监督手续可以与施工许可证或者开工报告合并办理。</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第四十九条 第一款 建设单位应当自建设工程竣工验收合格之日起15日内，将建设工程竣工验收报告和规划、公安消防、环保等部门出具的认可文件或者准许使用文件报建设行政主管部门或者其他有关部门备案。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《住房和城乡建设部关于落实建设单位工程质量首要责任的通知》（建质规〔2020〕9号）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（一）建设单位要严格履行基本建设程序，禁止未取得施工许可等建设手续开工建设。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《江苏省住房和城乡建设厅关于印发</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落实建设单位工程质量首要责任实施意见</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的通知》（苏建规字〔2021〕3号）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一）严格执行法定程序。建设单位必须严格执行法定基本建设程序，坚持先勘察、后设计、再施工的原则。在开工前按照规定办理施工图设计文件审查、施工许可等手续。审查合格的施工图设计文件后续出现变更，按照规定应当进行审查的变更内容需要重新送审。按照规定组织工程竣工验收，办理各类专项验收及工程竣工验收备案手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《城镇燃气管理条例》（</w:t>
            </w:r>
            <w:r>
              <w:rPr>
                <w:rFonts w:hint="eastAsia" w:ascii="宋体" w:hAnsi="宋体" w:eastAsia="宋体" w:cs="宋体"/>
                <w:color w:val="auto"/>
                <w:sz w:val="21"/>
                <w:szCs w:val="21"/>
                <w:highlight w:val="none"/>
                <w:shd w:val="clear" w:color="auto" w:fill="FFFFFF"/>
              </w:rPr>
              <w:t>国务院令第583号</w:t>
            </w:r>
            <w:r>
              <w:rPr>
                <w:rFonts w:hint="eastAsia" w:ascii="宋体" w:hAnsi="宋体" w:eastAsia="宋体" w:cs="宋体"/>
                <w:color w:val="auto"/>
                <w:spacing w:val="-6"/>
                <w:sz w:val="21"/>
                <w:szCs w:val="21"/>
                <w:highlight w:val="none"/>
              </w:rPr>
              <w:t>）</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z w:val="21"/>
                <w:szCs w:val="21"/>
                <w:highlight w:val="none"/>
                <w:shd w:val="clear" w:color="auto" w:fill="FFFFFF"/>
              </w:rPr>
              <w:t>第十一条第三款 燃气设施建设工程竣工后，建设单位应当依法组织竣工验收，并自竣工验收合格之日起15日内，将竣工验收情况报燃气管理部门备案。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《江苏省燃气管理条例》（江苏省人大常委会公告第28号）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第十六条 燃气设施建设工程竣工后，建设单位应当依法组织竣工验收，并自竣工验收合格之日起十五日内，将竣工验收情况按照国家有关规定报燃气主管部门</w:t>
            </w:r>
            <w:r>
              <w:rPr>
                <w:rFonts w:hint="eastAsia" w:ascii="宋体" w:hAnsi="宋体" w:eastAsia="宋体" w:cs="宋体"/>
                <w:color w:val="auto"/>
                <w:spacing w:val="-6"/>
                <w:sz w:val="21"/>
                <w:szCs w:val="21"/>
                <w:highlight w:val="none"/>
                <w:lang w:val="zh-CN" w:bidi="zh-CN"/>
              </w:rPr>
              <w:t>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2.2.1.2</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按规定要求实行监理的燃气工程，应当实行监理。</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《江苏省燃气管理条例》（江苏省人大常委会公告第28号）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第十五条 燃气场站、市政中高压燃气管道、成片开发建设住宅小区内的燃气管道和根据国家规定要求实行监理的其他燃气设施建设工程，应当实行监理。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2.2.1.3</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严格执行工程承发包制度，依法发包给具有相应资质的勘察、设计、施工、监理等单位，不得肢解发包。</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《建筑法》（1997年主席令第91号；2019年第二次修正）</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第二十五条 按照合同约定，建筑材料、建筑构配件和设备由工程承包单位采购的，发包单位不得指定承包单位购入用于工程的建筑材料、建筑构配件和设备或者指定生产厂、供应商。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《住房和城乡建设部关于落实建设单位工程质量首要责任的通知》（建质规〔2020〕9号）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一）严格执行工程发包承包法规制度，依法将工程发包给具备相应资质的勘察、设计、施工、监理等单位，不得肢解发包工程、违规指定分包单位，不得直接发包预拌混凝土等专业分包工程，不得指定按照合同约定应由施工单位购入用于工程的装配式建筑构配件、建筑材料和设备或者指定生产厂、供应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《江苏省住房和城乡建设厅关于印发</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落实建设单位工程质量首要责任实施意见</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的通知》（苏建规字〔2021〕3号）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二）严格依法发包。建设单位应当严格执行工程发包承包法规制度，依法开展招标活动。依法将工程发包给具备相应资质的勘察、设计、施工、监理等单位，不得肢解发包、违规指定分包单位，不得直接发包预拌混凝土等专业分包工程，不得指定按照合同约定应当由施工单位负责采购的建筑构配件、建筑材料和设备或者指定生产厂、供应商。依法与有关单位订立书面合同，明确双方权利和义务。按照规定向勘察、设计、施工、监理等单位提供与工程建设有关的原始资料，并保证其真实、准确、齐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2.2.1.4</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保证合理工期和造价。</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Style w:val="144"/>
                <w:rFonts w:hint="eastAsia" w:ascii="宋体" w:hAnsi="宋体" w:eastAsia="宋体" w:cs="宋体"/>
                <w:color w:val="auto"/>
                <w:sz w:val="21"/>
                <w:szCs w:val="21"/>
                <w:highlight w:val="none"/>
              </w:rPr>
              <w:t>《建设工程质量管理条例》（</w:t>
            </w:r>
            <w:r>
              <w:rPr>
                <w:rStyle w:val="145"/>
                <w:rFonts w:hint="eastAsia" w:ascii="宋体" w:hAnsi="宋体" w:eastAsia="宋体" w:cs="宋体"/>
                <w:color w:val="auto"/>
                <w:sz w:val="21"/>
                <w:szCs w:val="21"/>
                <w:highlight w:val="none"/>
              </w:rPr>
              <w:t>2000</w:t>
            </w:r>
            <w:r>
              <w:rPr>
                <w:rStyle w:val="144"/>
                <w:rFonts w:hint="eastAsia" w:ascii="宋体" w:hAnsi="宋体" w:eastAsia="宋体" w:cs="宋体"/>
                <w:color w:val="auto"/>
                <w:sz w:val="21"/>
                <w:szCs w:val="21"/>
                <w:highlight w:val="none"/>
              </w:rPr>
              <w:t>年国务院令第</w:t>
            </w:r>
            <w:r>
              <w:rPr>
                <w:rStyle w:val="145"/>
                <w:rFonts w:hint="eastAsia" w:ascii="宋体" w:hAnsi="宋体" w:eastAsia="宋体" w:cs="宋体"/>
                <w:color w:val="auto"/>
                <w:sz w:val="21"/>
                <w:szCs w:val="21"/>
                <w:highlight w:val="none"/>
              </w:rPr>
              <w:t>279</w:t>
            </w:r>
            <w:r>
              <w:rPr>
                <w:rStyle w:val="144"/>
                <w:rFonts w:hint="eastAsia" w:ascii="宋体" w:hAnsi="宋体" w:eastAsia="宋体" w:cs="宋体"/>
                <w:color w:val="auto"/>
                <w:sz w:val="21"/>
                <w:szCs w:val="21"/>
                <w:highlight w:val="none"/>
              </w:rPr>
              <w:t>号；</w:t>
            </w:r>
            <w:r>
              <w:rPr>
                <w:rStyle w:val="145"/>
                <w:rFonts w:hint="eastAsia" w:ascii="宋体" w:hAnsi="宋体" w:eastAsia="宋体" w:cs="宋体"/>
                <w:color w:val="auto"/>
                <w:sz w:val="21"/>
                <w:szCs w:val="21"/>
                <w:highlight w:val="none"/>
              </w:rPr>
              <w:t>2019</w:t>
            </w:r>
            <w:r>
              <w:rPr>
                <w:rStyle w:val="144"/>
                <w:rFonts w:hint="eastAsia" w:ascii="宋体" w:hAnsi="宋体" w:eastAsia="宋体" w:cs="宋体"/>
                <w:color w:val="auto"/>
                <w:sz w:val="21"/>
                <w:szCs w:val="21"/>
                <w:highlight w:val="none"/>
              </w:rPr>
              <w:t>年第二次修订）</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第十条第一款 建设工程发包单位不得迫使承包方以低于成本的价格竞标，不得任意压缩合理工期。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《住房和城乡建设部关于落实建设单位工程质量首要责任的通知》（建质规〔2020〕9号）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二）保证合理工期和造价。建设单位要科学合理确定工程建设工期和造价，严禁盲目赶工期、抢进度，不得迫使工程其他参建单位简化工序、降低质量标准。调整合同约定的勘察、设计周期和施工工期的，应相应调整相关费用。因极端恶劣天气等不可抗力以及重污染天气、重大活动保障等原因停工的，应给予合理的工期补偿。因材料、工程设备价格变化等原因，需要调整合同价款的，应按照合同约定给予调整。落实优质优价，鼓励和支持工程相关参建单位创建品质示范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《江苏省住房和城乡建设厅关于印发</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落实建设单位工程质量首要责任实施意见</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的通知》（苏建规字〔2021〕3号）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（三）保证合理工期和造价。</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严禁建设单位盲目压缩勘察设计周期、任意压低勘察设计费用。因建设单位原因造成勘察设计工作量增加的，应当调增相应勘察设计费用。</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应当科学合理确定施工工期，政府投资工程应当按照工期定额合理确定工期。严禁盲目赶工期、抢进度，不得迫使工程其他参建单位简化工序、降低质量标准。因不可抗力以及重污染天气、重大活动保障等原因停工的，应当给予合理的工期补偿。</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应当严格按照工程建设质量要求、技术标准、工程造价管理规定和工程计价依据等，科学合理确定工程造价。合同中应当明确约定因人工、建筑材料、建筑构配件、设备等价格变化及工期延误等其他原因引起合同价格变化时的调整方法，不得采用无限风险、所有风险或类似语句规定计价中的风险内容和范围。落实优质优价有关规定，在合同中约定工程创优目标和计费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2.2.1.5</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按规定委托具有相应资质的检测单位进行检测工作，组织编制检测计划。</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《建设工程质量检测管理办法》（建设部令第141号）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第十二条 本办法规定的质量检测业务，由工程项目建设单位委托具有相应资质的检测机构进行检测。委托方与被委托方应当签订书面合同。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0"/>
                <w:sz w:val="21"/>
                <w:szCs w:val="21"/>
                <w:highlight w:val="none"/>
              </w:rPr>
            </w:pPr>
            <w:r>
              <w:rPr>
                <w:rStyle w:val="144"/>
                <w:rFonts w:hint="eastAsia" w:ascii="宋体" w:hAnsi="宋体" w:eastAsia="宋体" w:cs="宋体"/>
                <w:color w:val="auto"/>
                <w:sz w:val="21"/>
                <w:szCs w:val="21"/>
                <w:highlight w:val="none"/>
              </w:rPr>
              <w:t>《建筑与市政工程施工质量控制通用规范》GB55032-2022</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3.4.1 建设单位应委托具备相应资质的第三方检测机构进行工程质量检测，检测项目和数量应符合抽样检验要求。非建设单位委托的检测机构出具的检测报告不得作为工程质量验收依据。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《住房和城乡建设部关于落实建设单位工程质量首要责任的通知》（建质规〔2020〕9号）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z w:val="21"/>
                <w:szCs w:val="21"/>
                <w:highlight w:val="none"/>
              </w:rPr>
              <w:t>二、准确把握落实建设单位工程质量首要责任内涵要求</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pacing w:val="-6"/>
                <w:sz w:val="21"/>
                <w:szCs w:val="21"/>
                <w:highlight w:val="none"/>
              </w:rPr>
            </w:pPr>
            <w:r>
              <w:rPr>
                <w:rFonts w:hint="eastAsia" w:ascii="宋体" w:hAnsi="宋体" w:eastAsia="宋体" w:cs="宋体"/>
                <w:color w:val="auto"/>
                <w:sz w:val="21"/>
                <w:szCs w:val="21"/>
                <w:highlight w:val="none"/>
              </w:rPr>
              <w:t>（四）全面履行质量管理职责。……</w:t>
            </w:r>
            <w:r>
              <w:rPr>
                <w:rFonts w:hint="eastAsia" w:ascii="宋体" w:hAnsi="宋体" w:eastAsia="宋体" w:cs="宋体"/>
                <w:color w:val="auto"/>
                <w:spacing w:val="-6"/>
                <w:sz w:val="21"/>
                <w:szCs w:val="21"/>
                <w:highlight w:val="none"/>
              </w:rPr>
              <w:t>严格质量检测管理，按时足额支付检测费用，不得违规减少依法应由建设单位委托的检测项目和数量，非建设单位委托的检测机构出具的检测报告不得作为工程质量验收依据。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《江苏省住房和城乡建设厅关于印发</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落实建设单位工程质量首要责任实施意见</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的通知》（苏建规字〔2021〕3号）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（五）全面履行工程建设全过程质量管理职责。</w:t>
            </w:r>
          </w:p>
          <w:p>
            <w:pPr>
              <w:keepNext w:val="0"/>
              <w:keepLines w:val="0"/>
              <w:pageBreakBefore w:val="0"/>
              <w:numPr>
                <w:ilvl w:val="255"/>
                <w:numId w:val="0"/>
              </w:numPr>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应当严格质量检测管理，委托具有相应资质的检测机构进行检测。应当按照我省工程质量检测综合报告制度规定开展检测工作，编制检测计划，明确项目检测负责人，与被委托方签订书面合同，在合同中明确检测费用并按时足额支付。禁止变相要求施工单位承担应当由建设单位承担的检测费用，不得违规减少依法应当由建设单位委托的检测项目和数量。非建设单位委托的检测机构出具的检测报告不得作为工程质量验收依据。不得明示或者暗示检测机构出具虚假检测报告，篡改或者伪造检测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pacing w:val="-6"/>
                <w:sz w:val="21"/>
                <w:szCs w:val="21"/>
                <w:highlight w:val="none"/>
              </w:rPr>
              <w:t>《</w:t>
            </w:r>
            <w:r>
              <w:rPr>
                <w:rFonts w:hint="eastAsia" w:ascii="宋体" w:hAnsi="宋体" w:eastAsia="宋体" w:cs="宋体"/>
                <w:color w:val="auto"/>
                <w:sz w:val="21"/>
                <w:szCs w:val="21"/>
                <w:highlight w:val="none"/>
                <w:shd w:val="clear" w:color="auto" w:fill="FFFFFF"/>
              </w:rPr>
              <w:t>江苏省住房城乡建设厅关于实行建设工程质量检测综合报告制度的通知</w:t>
            </w:r>
            <w:r>
              <w:rPr>
                <w:rFonts w:hint="eastAsia" w:ascii="宋体" w:hAnsi="宋体" w:eastAsia="宋体" w:cs="宋体"/>
                <w:color w:val="auto"/>
                <w:spacing w:val="-6"/>
                <w:sz w:val="21"/>
                <w:szCs w:val="21"/>
                <w:highlight w:val="none"/>
              </w:rPr>
              <w:t>》（苏建规字〔2020〕8号）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四、实施内容</w:t>
            </w:r>
          </w:p>
          <w:p>
            <w:pPr>
              <w:keepNext w:val="0"/>
              <w:keepLines w:val="0"/>
              <w:pageBreakBefore w:val="0"/>
              <w:widowControl/>
              <w:shd w:val="clear" w:color="auto" w:fill="FFFFFF"/>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（一）建设工程质量检测计划</w:t>
            </w:r>
          </w:p>
          <w:p>
            <w:pPr>
              <w:keepNext w:val="0"/>
              <w:keepLines w:val="0"/>
              <w:pageBreakBefore w:val="0"/>
              <w:widowControl/>
              <w:shd w:val="clear" w:color="auto" w:fill="FFFFFF"/>
              <w:kinsoku/>
              <w:wordWrap/>
              <w:overflowPunct/>
              <w:topLinePunct w:val="0"/>
              <w:autoSpaceDE/>
              <w:autoSpaceDN/>
              <w:bidi w:val="0"/>
              <w:adjustRightInd/>
              <w:snapToGrid/>
              <w:spacing w:line="260" w:lineRule="atLeast"/>
              <w:ind w:left="0" w:firstLine="420" w:firstLineChars="200"/>
              <w:jc w:val="left"/>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建设工程质量检测计划（以下简称《检测计划》）应当符合法律法规、审查合格的设计文件和规范标准，在工程开工前由建设单位组织编制，并负责后续实施，建设单位可以组织设计、监理、施工单位和检测机构共同编制。建设单位应当明确项目检测负责人，负责《检测计划》的编制和实施。</w:t>
            </w:r>
          </w:p>
          <w:p>
            <w:pPr>
              <w:keepNext w:val="0"/>
              <w:keepLines w:val="0"/>
              <w:pageBreakBefore w:val="0"/>
              <w:kinsoku/>
              <w:wordWrap/>
              <w:overflowPunct/>
              <w:topLinePunct w:val="0"/>
              <w:autoSpaceDE/>
              <w:autoSpaceDN/>
              <w:bidi w:val="0"/>
              <w:adjustRightInd/>
              <w:snapToGrid/>
              <w:spacing w:line="260" w:lineRule="atLeast"/>
              <w:ind w:left="0" w:firstLine="420" w:firstLineChars="200"/>
              <w:jc w:val="left"/>
              <w:textAlignment w:val="auto"/>
              <w:rPr>
                <w:rFonts w:hint="eastAsia" w:ascii="宋体" w:hAnsi="宋体" w:eastAsia="宋体" w:cs="宋体"/>
                <w:color w:val="auto"/>
                <w:spacing w:val="-6"/>
                <w:sz w:val="21"/>
                <w:szCs w:val="21"/>
                <w:highlight w:val="none"/>
                <w:lang w:eastAsia="zh-CN"/>
              </w:rPr>
            </w:pPr>
            <w:r>
              <w:rPr>
                <w:rFonts w:hint="eastAsia" w:ascii="宋体" w:hAnsi="宋体" w:eastAsia="宋体" w:cs="宋体"/>
                <w:color w:val="auto"/>
                <w:kern w:val="0"/>
                <w:sz w:val="21"/>
                <w:szCs w:val="21"/>
                <w:highlight w:val="none"/>
              </w:rPr>
              <w:t>《检测计划》一般按照单位工程编制，应当包括以下主要内容：工程概况、建设工程质量检测责任主体、项目检测负责人任命文件、建设工程质量检测实施计划、建设工程质量检测计划变更、建设工程质量检测工作实施一览表等。建设工程质量检测实施计划包括：项目编码、项目名称、工程量、检测项目、检测参数、计划检测批次、计划检测节点等内容。项目编码、项目名称应当依据《房屋建筑与装饰工程工程量计算规范》（GB50854）、《通用安装工程工程量计算规范》（GB50856）、《市政工程工程量计算规范》（GB50857）、《江苏省装配式混凝土建筑工程定额（试行）》等标准、规范确定。工程发生变更时，建设单位应当及时组织调整《检测计划》</w:t>
            </w:r>
            <w:r>
              <w:rPr>
                <w:rFonts w:hint="eastAsia" w:ascii="宋体" w:hAnsi="宋体" w:eastAsia="宋体" w:cs="宋体"/>
                <w:color w:val="auto"/>
                <w:kern w:val="0"/>
                <w:sz w:val="21"/>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2.2.1.6</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pacing w:val="-6"/>
                <w:sz w:val="21"/>
                <w:szCs w:val="21"/>
                <w:highlight w:val="none"/>
              </w:rPr>
              <w:t>按规定将工程勘察报告、施工图设计文件报审图机构审查，审查合格方可使用。工程变更程序符合规定，对有重大修改、变动的施工图设计文件应当重新进行报审，审查合格方可使用。</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Style w:val="144"/>
                <w:rFonts w:hint="eastAsia" w:ascii="宋体" w:hAnsi="宋体" w:eastAsia="宋体" w:cs="宋体"/>
                <w:color w:val="auto"/>
                <w:sz w:val="21"/>
                <w:szCs w:val="21"/>
                <w:highlight w:val="none"/>
              </w:rPr>
              <w:t>《建设工程质量管理条例》（</w:t>
            </w:r>
            <w:r>
              <w:rPr>
                <w:rStyle w:val="145"/>
                <w:rFonts w:hint="eastAsia" w:ascii="宋体" w:hAnsi="宋体" w:eastAsia="宋体" w:cs="宋体"/>
                <w:color w:val="auto"/>
                <w:sz w:val="21"/>
                <w:szCs w:val="21"/>
                <w:highlight w:val="none"/>
              </w:rPr>
              <w:t>2000</w:t>
            </w:r>
            <w:r>
              <w:rPr>
                <w:rStyle w:val="144"/>
                <w:rFonts w:hint="eastAsia" w:ascii="宋体" w:hAnsi="宋体" w:eastAsia="宋体" w:cs="宋体"/>
                <w:color w:val="auto"/>
                <w:sz w:val="21"/>
                <w:szCs w:val="21"/>
                <w:highlight w:val="none"/>
              </w:rPr>
              <w:t>年国务院令第</w:t>
            </w:r>
            <w:r>
              <w:rPr>
                <w:rStyle w:val="145"/>
                <w:rFonts w:hint="eastAsia" w:ascii="宋体" w:hAnsi="宋体" w:eastAsia="宋体" w:cs="宋体"/>
                <w:color w:val="auto"/>
                <w:sz w:val="21"/>
                <w:szCs w:val="21"/>
                <w:highlight w:val="none"/>
              </w:rPr>
              <w:t>279</w:t>
            </w:r>
            <w:r>
              <w:rPr>
                <w:rStyle w:val="144"/>
                <w:rFonts w:hint="eastAsia" w:ascii="宋体" w:hAnsi="宋体" w:eastAsia="宋体" w:cs="宋体"/>
                <w:color w:val="auto"/>
                <w:sz w:val="21"/>
                <w:szCs w:val="21"/>
                <w:highlight w:val="none"/>
              </w:rPr>
              <w:t>号；</w:t>
            </w:r>
            <w:r>
              <w:rPr>
                <w:rStyle w:val="145"/>
                <w:rFonts w:hint="eastAsia" w:ascii="宋体" w:hAnsi="宋体" w:eastAsia="宋体" w:cs="宋体"/>
                <w:color w:val="auto"/>
                <w:sz w:val="21"/>
                <w:szCs w:val="21"/>
                <w:highlight w:val="none"/>
              </w:rPr>
              <w:t>2019</w:t>
            </w:r>
            <w:r>
              <w:rPr>
                <w:rStyle w:val="144"/>
                <w:rFonts w:hint="eastAsia" w:ascii="宋体" w:hAnsi="宋体" w:eastAsia="宋体" w:cs="宋体"/>
                <w:color w:val="auto"/>
                <w:sz w:val="21"/>
                <w:szCs w:val="21"/>
                <w:highlight w:val="none"/>
              </w:rPr>
              <w:t>年第二次修订）</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第十一条第二款 施工图设计文件未经审查批准的，不得使用。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《房屋建筑和市政基础设施工程施工图设计文件审查管理办法》（住房城乡建设部令第</w:t>
            </w:r>
            <w:r>
              <w:rPr>
                <w:rStyle w:val="145"/>
                <w:rFonts w:hint="eastAsia" w:ascii="宋体" w:hAnsi="宋体" w:eastAsia="宋体" w:cs="宋体"/>
                <w:color w:val="auto"/>
                <w:sz w:val="21"/>
                <w:szCs w:val="21"/>
                <w:highlight w:val="none"/>
              </w:rPr>
              <w:t>46</w:t>
            </w:r>
            <w:r>
              <w:rPr>
                <w:rStyle w:val="144"/>
                <w:rFonts w:hint="eastAsia" w:ascii="宋体" w:hAnsi="宋体" w:eastAsia="宋体" w:cs="宋体"/>
                <w:color w:val="auto"/>
                <w:sz w:val="21"/>
                <w:szCs w:val="21"/>
                <w:highlight w:val="none"/>
              </w:rPr>
              <w:t>号）</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Style w:val="144"/>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第三条 国家实施施工图设计文件（含勘察文件，以下简称施工图）审查制度。</w:t>
            </w:r>
          </w:p>
          <w:p>
            <w:pPr>
              <w:keepNext w:val="0"/>
              <w:keepLines w:val="0"/>
              <w:pageBreakBefore w:val="0"/>
              <w:widowControl/>
              <w:kinsoku/>
              <w:wordWrap/>
              <w:overflowPunct/>
              <w:topLinePunct w:val="0"/>
              <w:autoSpaceDE/>
              <w:autoSpaceDN/>
              <w:bidi w:val="0"/>
              <w:spacing w:line="260" w:lineRule="atLeast"/>
              <w:ind w:left="0" w:firstLine="210" w:firstLineChars="100"/>
              <w:jc w:val="left"/>
              <w:textAlignment w:val="center"/>
              <w:rPr>
                <w:rStyle w:val="144"/>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本办法所称施工图审查，是指施工图审查机构（以下简称审查机构）按照有关法律、法规，对施工图涉及公共利益、公众安全和工程建设强制性标准的内容进行的审查。施工图审查应当坚持先勘察、后设计的原则。</w:t>
            </w:r>
          </w:p>
          <w:p>
            <w:pPr>
              <w:keepNext w:val="0"/>
              <w:keepLines w:val="0"/>
              <w:pageBreakBefore w:val="0"/>
              <w:widowControl/>
              <w:kinsoku/>
              <w:wordWrap/>
              <w:overflowPunct/>
              <w:topLinePunct w:val="0"/>
              <w:autoSpaceDE/>
              <w:autoSpaceDN/>
              <w:bidi w:val="0"/>
              <w:spacing w:line="260" w:lineRule="atLeast"/>
              <w:ind w:left="0" w:firstLine="210" w:firstLineChars="100"/>
              <w:jc w:val="left"/>
              <w:textAlignment w:val="center"/>
              <w:rPr>
                <w:rStyle w:val="144"/>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施工图未经审查合格的，不得使用。从事房屋建筑工程、市政基础设施工程施工、监理等活动，以及实施对房屋建筑和市政基础设施工程质量安全监督管理，应当以审查合格的施工图为依据。</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pacing w:val="-6"/>
                <w:sz w:val="21"/>
                <w:szCs w:val="21"/>
                <w:highlight w:val="none"/>
              </w:rPr>
              <w:t>第十四条 任何单位或者个人不得擅自修改审查合格的施工图；确需修改的，凡涉及本办法第十一条规定内容的，建设单位应当将修改后的施工图送原审查机构审查。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《建筑与市政工程施工质量控制通用规范》GB55032-2022</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2.0.5 工程项目各方不得擅自修改工程设计，确需修改的应报建设单位同意，由设计单位出具设计变更文件，并应按原审批程序办理变更手续。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《江苏省住房和城乡建设厅关于印发</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落实建设单位工程质量首要责任实施意见</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的通知》（苏建规字〔2021〕3号）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一）严格执行法定程序。建设单位必须严格执行法定基本建设程序，坚持先勘察、后设计、再施工的原则。在开工前按照规定办理施工图设计文件审查、施工许可等手续。审查合格的施工图设计文件后续出现变更，按照规定应当进行审查的变更内容需要重新送审。按照规定组织工程竣工验收，办理各类专项验收及工程竣工验收备案手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z w:val="21"/>
                <w:szCs w:val="21"/>
                <w:highlight w:val="none"/>
              </w:rPr>
              <w:t>《省住房城乡建设厅关于规范城镇燃气设施建设和运行管理工作的若干意见》（苏建规字〔2014〕1号）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一、严格城镇燃气设施建设程序</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四）施工图审查。燃气场站、燃气管道设施等燃气设施项目应当进行施工图设计文件审查。未经审查或审查不合格的燃气设施施工图设计文件不得用于施工。施工图设计文件一经审查批准，不得擅自修改；如遇特殊情况确需进行修改时，应按照规定重新审查。</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三、强化城镇燃气设施行业监管</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pacing w:val="-2"/>
                <w:kern w:val="0"/>
                <w:sz w:val="21"/>
                <w:szCs w:val="21"/>
                <w:highlight w:val="none"/>
              </w:rPr>
            </w:pPr>
            <w:r>
              <w:rPr>
                <w:rFonts w:hint="eastAsia" w:ascii="宋体" w:hAnsi="宋体" w:eastAsia="宋体" w:cs="宋体"/>
                <w:color w:val="auto"/>
                <w:sz w:val="21"/>
                <w:szCs w:val="21"/>
                <w:highlight w:val="none"/>
              </w:rPr>
              <w:t>（三）规范城镇燃气设施建设市场管理。……施工图审查应当由具有相应审查业务范围的审图机构进行；对审图机构暂不具有燃气相应审查业务的地区，可采取由建设（燃气）行政主管部门组织专家会审的形式进行审查，并将专家论证意见作为施工图审查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2.2.1.7</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向勘察、设计、施工、监理单位提供准确真实的原始资料，向施工、监理单位提供审查合格的施工图纸。</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Style w:val="144"/>
                <w:rFonts w:hint="eastAsia" w:ascii="宋体" w:hAnsi="宋体" w:eastAsia="宋体" w:cs="宋体"/>
                <w:color w:val="auto"/>
                <w:sz w:val="21"/>
                <w:szCs w:val="21"/>
                <w:highlight w:val="none"/>
              </w:rPr>
              <w:t>《建设工程质量管理条例》（</w:t>
            </w:r>
            <w:r>
              <w:rPr>
                <w:rStyle w:val="145"/>
                <w:rFonts w:hint="eastAsia" w:ascii="宋体" w:hAnsi="宋体" w:eastAsia="宋体" w:cs="宋体"/>
                <w:color w:val="auto"/>
                <w:sz w:val="21"/>
                <w:szCs w:val="21"/>
                <w:highlight w:val="none"/>
              </w:rPr>
              <w:t>2000</w:t>
            </w:r>
            <w:r>
              <w:rPr>
                <w:rStyle w:val="144"/>
                <w:rFonts w:hint="eastAsia" w:ascii="宋体" w:hAnsi="宋体" w:eastAsia="宋体" w:cs="宋体"/>
                <w:color w:val="auto"/>
                <w:sz w:val="21"/>
                <w:szCs w:val="21"/>
                <w:highlight w:val="none"/>
              </w:rPr>
              <w:t>年国务院令第</w:t>
            </w:r>
            <w:r>
              <w:rPr>
                <w:rStyle w:val="145"/>
                <w:rFonts w:hint="eastAsia" w:ascii="宋体" w:hAnsi="宋体" w:eastAsia="宋体" w:cs="宋体"/>
                <w:color w:val="auto"/>
                <w:sz w:val="21"/>
                <w:szCs w:val="21"/>
                <w:highlight w:val="none"/>
              </w:rPr>
              <w:t>279</w:t>
            </w:r>
            <w:r>
              <w:rPr>
                <w:rStyle w:val="144"/>
                <w:rFonts w:hint="eastAsia" w:ascii="宋体" w:hAnsi="宋体" w:eastAsia="宋体" w:cs="宋体"/>
                <w:color w:val="auto"/>
                <w:sz w:val="21"/>
                <w:szCs w:val="21"/>
                <w:highlight w:val="none"/>
              </w:rPr>
              <w:t>号；</w:t>
            </w:r>
            <w:r>
              <w:rPr>
                <w:rStyle w:val="145"/>
                <w:rFonts w:hint="eastAsia" w:ascii="宋体" w:hAnsi="宋体" w:eastAsia="宋体" w:cs="宋体"/>
                <w:color w:val="auto"/>
                <w:sz w:val="21"/>
                <w:szCs w:val="21"/>
                <w:highlight w:val="none"/>
              </w:rPr>
              <w:t>2019</w:t>
            </w:r>
            <w:r>
              <w:rPr>
                <w:rStyle w:val="144"/>
                <w:rFonts w:hint="eastAsia" w:ascii="宋体" w:hAnsi="宋体" w:eastAsia="宋体" w:cs="宋体"/>
                <w:color w:val="auto"/>
                <w:sz w:val="21"/>
                <w:szCs w:val="21"/>
                <w:highlight w:val="none"/>
              </w:rPr>
              <w:t>年第二次修订）</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第九条 建设单位必须向有关的勘察、设计、施工、工程监理等单位提供与建设工程有关的原始资料。</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原始资料必须真实、准确、齐全。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《房屋建筑和市政基础设施工程施工图设计文件审查管理办法》（住房城乡建设部令第46号）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第三条第三款 施工图未经审查合格的，不得使用。从事房屋建筑工程、市政基础设施工程施工、监理等活动，以及实施对房屋建筑和市政基础设施工程质量安全监督管理，应当以审查合格的施工图为依据。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《城镇燃气管理条例》（</w:t>
            </w:r>
            <w:r>
              <w:rPr>
                <w:rFonts w:hint="eastAsia" w:ascii="宋体" w:hAnsi="宋体" w:eastAsia="宋体" w:cs="宋体"/>
                <w:color w:val="auto"/>
                <w:sz w:val="21"/>
                <w:szCs w:val="21"/>
                <w:highlight w:val="none"/>
                <w:shd w:val="clear" w:color="auto" w:fill="FFFFFF"/>
              </w:rPr>
              <w:t>国务院令第583号</w:t>
            </w:r>
            <w:r>
              <w:rPr>
                <w:rFonts w:hint="eastAsia" w:ascii="宋体" w:hAnsi="宋体" w:eastAsia="宋体" w:cs="宋体"/>
                <w:color w:val="auto"/>
                <w:spacing w:val="-6"/>
                <w:sz w:val="21"/>
                <w:szCs w:val="21"/>
                <w:highlight w:val="none"/>
              </w:rPr>
              <w:t>）</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第三十七条 新建、扩建、改建建设工程，不得影响燃气设施安全。</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建设单位在开工前，应当查明建设工程施工范围内地下燃气管线的相关情况；燃气管理部门以及其他有关部门和单位应当及时提供相关资料。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《江苏省燃气管理条例》（江苏省人大常委会公告第28号）</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第四十六条 建设工程开工前，建设单位应当向燃气经营者或者城建档案管理机构查明地下燃气设施的相关情况，燃气经营者或者城建档案管理机构应当在接到查询要求之日起三个工作日内给予书面答复。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2.2.1.8</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建设单位应按要求组织图纸会审、设计交底工作。</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《建设工程勘察设计管理条例》（国务院令第293号）（国务院令第293号）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第三十条第一款 建设工程勘察单位、设计单位应当在建设工程施工前，向施工单位和监理单位说明建设工程勘察、设计意图，解释建设工程勘察、设计文件。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2.2.1.9</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按合同约定由建设单位采购的建筑材料、建筑构配件和设备的质量应符合要求。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Style w:val="144"/>
                <w:rFonts w:hint="eastAsia" w:ascii="宋体" w:hAnsi="宋体" w:eastAsia="宋体" w:cs="宋体"/>
                <w:color w:val="auto"/>
                <w:sz w:val="21"/>
                <w:szCs w:val="21"/>
                <w:highlight w:val="none"/>
              </w:rPr>
              <w:t>《建设工程质量管理条例》（</w:t>
            </w:r>
            <w:r>
              <w:rPr>
                <w:rStyle w:val="145"/>
                <w:rFonts w:hint="eastAsia" w:ascii="宋体" w:hAnsi="宋体" w:eastAsia="宋体" w:cs="宋体"/>
                <w:color w:val="auto"/>
                <w:sz w:val="21"/>
                <w:szCs w:val="21"/>
                <w:highlight w:val="none"/>
              </w:rPr>
              <w:t>2000</w:t>
            </w:r>
            <w:r>
              <w:rPr>
                <w:rStyle w:val="144"/>
                <w:rFonts w:hint="eastAsia" w:ascii="宋体" w:hAnsi="宋体" w:eastAsia="宋体" w:cs="宋体"/>
                <w:color w:val="auto"/>
                <w:sz w:val="21"/>
                <w:szCs w:val="21"/>
                <w:highlight w:val="none"/>
              </w:rPr>
              <w:t>年国务院令第</w:t>
            </w:r>
            <w:r>
              <w:rPr>
                <w:rStyle w:val="145"/>
                <w:rFonts w:hint="eastAsia" w:ascii="宋体" w:hAnsi="宋体" w:eastAsia="宋体" w:cs="宋体"/>
                <w:color w:val="auto"/>
                <w:sz w:val="21"/>
                <w:szCs w:val="21"/>
                <w:highlight w:val="none"/>
              </w:rPr>
              <w:t>279</w:t>
            </w:r>
            <w:r>
              <w:rPr>
                <w:rStyle w:val="144"/>
                <w:rFonts w:hint="eastAsia" w:ascii="宋体" w:hAnsi="宋体" w:eastAsia="宋体" w:cs="宋体"/>
                <w:color w:val="auto"/>
                <w:sz w:val="21"/>
                <w:szCs w:val="21"/>
                <w:highlight w:val="none"/>
              </w:rPr>
              <w:t>号；</w:t>
            </w:r>
            <w:r>
              <w:rPr>
                <w:rStyle w:val="145"/>
                <w:rFonts w:hint="eastAsia" w:ascii="宋体" w:hAnsi="宋体" w:eastAsia="宋体" w:cs="宋体"/>
                <w:color w:val="auto"/>
                <w:sz w:val="21"/>
                <w:szCs w:val="21"/>
                <w:highlight w:val="none"/>
              </w:rPr>
              <w:t>2019</w:t>
            </w:r>
            <w:r>
              <w:rPr>
                <w:rStyle w:val="144"/>
                <w:rFonts w:hint="eastAsia" w:ascii="宋体" w:hAnsi="宋体" w:eastAsia="宋体" w:cs="宋体"/>
                <w:color w:val="auto"/>
                <w:sz w:val="21"/>
                <w:szCs w:val="21"/>
                <w:highlight w:val="none"/>
              </w:rPr>
              <w:t>年第二次修订）</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第十四条 按照合同约定，由建设单位采购建筑材料、建筑构配件和设备的，建设单位应当保证建筑材料、建筑构配件和设备符合设计文件和合同要求。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《住房和城乡建设部关于落实建设单位工程质量首要责任的通知》（建质规〔2020〕9号）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（四）加强对按照合同约定自行采购的建筑材料、构配件和设备等的质量管理，并承担相应的质量责任。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《江苏省住房和城乡建设厅关于印发</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落实建设单位工程质量首要责任实施意见</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的通知》（苏建规字〔2021〕3号）</w:t>
            </w:r>
          </w:p>
        </w:tc>
        <w:tc>
          <w:tcPr>
            <w:tcW w:w="11060" w:type="dxa"/>
            <w:vAlign w:val="center"/>
          </w:tcPr>
          <w:p>
            <w:pPr>
              <w:keepNext w:val="0"/>
              <w:keepLines w:val="0"/>
              <w:pageBreakBefore w:val="0"/>
              <w:numPr>
                <w:ilvl w:val="0"/>
                <w:numId w:val="3"/>
              </w:numPr>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全面履行工程建设全过程质量管理职责。</w:t>
            </w:r>
          </w:p>
          <w:p>
            <w:pPr>
              <w:keepNext w:val="0"/>
              <w:keepLines w:val="0"/>
              <w:pageBreakBefore w:val="0"/>
              <w:numPr>
                <w:ilvl w:val="255"/>
                <w:numId w:val="0"/>
              </w:numPr>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应当对自行采购的建筑材料、建筑构配件和设备等质量负责，且应当符合设计文件和合同要求。不得明示或者暗示施工单位使用不合格的建筑材料、建筑构配件和设备；不得明示或者暗示设计、施工等单位违反工程建设强制性标准，降低工程质量；禁止以“设计优化”等名义违反工程建设强制性标准擅自变更图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2.2.1.10</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不得指定应由承包单位采购的建筑材料、建筑构配件和设备，或者指定生产厂、供应商。</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Style w:val="144"/>
                <w:rFonts w:hint="eastAsia" w:ascii="宋体" w:hAnsi="宋体" w:eastAsia="宋体" w:cs="宋体"/>
                <w:color w:val="auto"/>
                <w:sz w:val="21"/>
                <w:szCs w:val="21"/>
                <w:highlight w:val="none"/>
              </w:rPr>
              <w:t>《建设工程质量管理条例》（</w:t>
            </w:r>
            <w:r>
              <w:rPr>
                <w:rStyle w:val="145"/>
                <w:rFonts w:hint="eastAsia" w:ascii="宋体" w:hAnsi="宋体" w:eastAsia="宋体" w:cs="宋体"/>
                <w:color w:val="auto"/>
                <w:sz w:val="21"/>
                <w:szCs w:val="21"/>
                <w:highlight w:val="none"/>
              </w:rPr>
              <w:t>2000</w:t>
            </w:r>
            <w:r>
              <w:rPr>
                <w:rStyle w:val="144"/>
                <w:rFonts w:hint="eastAsia" w:ascii="宋体" w:hAnsi="宋体" w:eastAsia="宋体" w:cs="宋体"/>
                <w:color w:val="auto"/>
                <w:sz w:val="21"/>
                <w:szCs w:val="21"/>
                <w:highlight w:val="none"/>
              </w:rPr>
              <w:t>年国务院令第</w:t>
            </w:r>
            <w:r>
              <w:rPr>
                <w:rStyle w:val="145"/>
                <w:rFonts w:hint="eastAsia" w:ascii="宋体" w:hAnsi="宋体" w:eastAsia="宋体" w:cs="宋体"/>
                <w:color w:val="auto"/>
                <w:sz w:val="21"/>
                <w:szCs w:val="21"/>
                <w:highlight w:val="none"/>
              </w:rPr>
              <w:t>279</w:t>
            </w:r>
            <w:r>
              <w:rPr>
                <w:rStyle w:val="144"/>
                <w:rFonts w:hint="eastAsia" w:ascii="宋体" w:hAnsi="宋体" w:eastAsia="宋体" w:cs="宋体"/>
                <w:color w:val="auto"/>
                <w:sz w:val="21"/>
                <w:szCs w:val="21"/>
                <w:highlight w:val="none"/>
              </w:rPr>
              <w:t>号；</w:t>
            </w:r>
            <w:r>
              <w:rPr>
                <w:rStyle w:val="145"/>
                <w:rFonts w:hint="eastAsia" w:ascii="宋体" w:hAnsi="宋体" w:eastAsia="宋体" w:cs="宋体"/>
                <w:color w:val="auto"/>
                <w:sz w:val="21"/>
                <w:szCs w:val="21"/>
                <w:highlight w:val="none"/>
              </w:rPr>
              <w:t>2019</w:t>
            </w:r>
            <w:r>
              <w:rPr>
                <w:rStyle w:val="144"/>
                <w:rFonts w:hint="eastAsia" w:ascii="宋体" w:hAnsi="宋体" w:eastAsia="宋体" w:cs="宋体"/>
                <w:color w:val="auto"/>
                <w:sz w:val="21"/>
                <w:szCs w:val="21"/>
                <w:highlight w:val="none"/>
              </w:rPr>
              <w:t>年第二次修订）</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第七条 建设单位应当将工程发包给具有相应资质等级的单位。</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建设单位不得将建设工程肢解发包。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《住房和城乡建设部关于落实建设单位工程质量首要责任的通知》（建质规〔2020〕9号）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一）严格执行工程发包承包法规制度，依法将工程发包给具备相应资质的勘察、设计、施工、监理等单位，不得肢解发包工程、违规指定分包单位，不得直接发包预拌混凝土等专业分包工程，不得指定按照合同约定应由施工单位购入用于工程的装配式建筑构配件、建筑材料和设备或者指定生产厂、供应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《江苏省住房和城乡建设厅关于印发</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落实建设单位工程质量首要责任实施意见</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的通知》（苏建规字〔2021〕3号）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二）严格依法发包。建设单位应当严格执行工程发包承包法规制度，依法开展招标活动。依法将工程发包给具备相应资质的勘察、设计、施工、监理等单位，不得肢解发包、违规指定分包单位，不得直接发包预拌混凝土等专业分包工程，不得指定按照合同约定应当由施工单位负责采购的建筑构配件、建筑材料和设备或者指定生产厂、供应商。依法与有关单位订立书面合同，明确双方权利和义务。按照规定向勘察、设计、施工、监理等单位提供与工程建设有关的原始资料，并保证其真实、准确、齐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2.2.1.11</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按合同约定及时支付工程款。</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《建筑法》（1997年主席令第91号；2019年第二次修正）</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第十八条第二款 发包单位应当按照合同的约定，及时拨付工程款项。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《住房和城乡建设部关于落实建设单位工程质量首要责任的通知》（建质规〔2020〕9号）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三）推行施工过程结算。建设单位应有满足施工所需的资金安排，并向施工单位提供工程款支付担保。建设合同应约定施工过程结算周期、工程进度款结算办法等内容。分部工程验收通过时原则上应同步完成工程款结算，不得以设计变更、工程洽商等理由变相拖延结算。政府投资工程应当按照国家有关规定确保资金按时支付到位，不得以未完成审计作为延期工程款结算的理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《江苏省住房和城乡建设厅关于印发</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落实建设单位工程质量首要责任实施意见</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的通知》（苏建规字〔2021〕3号）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四）保证建设资金到位和工程款支付。建设单位应当有满足施工所需的资金安排。应当按照规定向施工单位提供工程款支付担保。应当按照合同约定按时将人工费用直接拨付到施工总承包单位农民工工资专户。积极推进施工过程结算，合同中应当按照时间节点或者进度节点约定付款周期，付款比例不低于当期工程款的60%。对分部质量验收通过的工程量，原则上应当同步计量、确认和支付工程价款。严格执行发包人与承包人完成竣工结算核对并签字确认的时间，工程竣工结算报告金额1亿元以下的，不超过90天；金额1亿元以上的，不超过180天；核对时间超出规定期限时，按照合同约定从超出之日起计付银行同期贷款利息。不得以设计变更、工程洽商等理由变相拖延结算。政府投资工程应当按照国家和省有关规定确保资金落实到位并按时支付，在招标文件中约定预付款的比例不得低于合同总额的10%，不得由施工单位垫资建设，不得以未完成审计作为延期工程结算的理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0"/>
                <w:sz w:val="21"/>
                <w:szCs w:val="21"/>
                <w:highlight w:val="none"/>
              </w:rPr>
              <w:t>2.2.1.1</w:t>
            </w:r>
            <w:r>
              <w:rPr>
                <w:rFonts w:hint="eastAsia" w:ascii="宋体" w:hAnsi="宋体" w:eastAsia="宋体" w:cs="宋体"/>
                <w:color w:val="auto"/>
                <w:kern w:val="0"/>
                <w:sz w:val="21"/>
                <w:szCs w:val="21"/>
                <w:highlight w:val="none"/>
                <w:lang w:val="en-US" w:eastAsia="zh-CN"/>
              </w:rPr>
              <w:t>2</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Style w:val="144"/>
                <w:rFonts w:hint="eastAsia" w:ascii="宋体" w:hAnsi="宋体" w:eastAsia="宋体" w:cs="宋体"/>
                <w:color w:val="auto"/>
                <w:sz w:val="21"/>
                <w:szCs w:val="21"/>
                <w:highlight w:val="none"/>
              </w:rPr>
              <w:t>质量行为要求</w:t>
            </w:r>
          </w:p>
        </w:tc>
        <w:tc>
          <w:tcPr>
            <w:tcW w:w="111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Style w:val="144"/>
                <w:rFonts w:hint="eastAsia" w:ascii="宋体" w:hAnsi="宋体" w:eastAsia="宋体" w:cs="宋体"/>
                <w:color w:val="auto"/>
                <w:sz w:val="21"/>
                <w:szCs w:val="21"/>
                <w:highlight w:val="none"/>
              </w:rPr>
              <w:t>建设单位</w:t>
            </w:r>
          </w:p>
        </w:tc>
        <w:tc>
          <w:tcPr>
            <w:tcW w:w="2882"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Style w:val="144"/>
                <w:rFonts w:hint="eastAsia" w:ascii="宋体" w:hAnsi="宋体" w:eastAsia="宋体" w:cs="宋体"/>
                <w:color w:val="auto"/>
                <w:sz w:val="21"/>
                <w:szCs w:val="21"/>
                <w:highlight w:val="none"/>
              </w:rPr>
              <w:t>未实行监理的工程项目，由建设单位履行监理职责。</w:t>
            </w:r>
          </w:p>
        </w:tc>
        <w:tc>
          <w:tcPr>
            <w:tcW w:w="4027"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u w:val="none"/>
                <w:lang w:val="en-US" w:eastAsia="zh-CN" w:bidi="ar-SA"/>
              </w:rPr>
            </w:pPr>
            <w:r>
              <w:rPr>
                <w:rFonts w:hint="eastAsia" w:ascii="宋体" w:hAnsi="宋体" w:eastAsia="宋体" w:cs="宋体"/>
                <w:color w:val="auto"/>
                <w:kern w:val="0"/>
                <w:sz w:val="21"/>
                <w:szCs w:val="21"/>
                <w:highlight w:val="none"/>
              </w:rPr>
              <w:t>《建筑与市政工程施工质量控制通用规范》GB55032-2022</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u w:val="none"/>
                <w:lang w:val="en-US" w:eastAsia="zh-CN" w:bidi="ar-SA"/>
              </w:rPr>
            </w:pPr>
            <w:r>
              <w:rPr>
                <w:rStyle w:val="144"/>
                <w:rFonts w:hint="eastAsia" w:ascii="宋体" w:hAnsi="宋体" w:eastAsia="宋体" w:cs="宋体"/>
                <w:color w:val="auto"/>
                <w:sz w:val="21"/>
                <w:szCs w:val="21"/>
                <w:highlight w:val="none"/>
              </w:rPr>
              <w:t>2.0.9</w:t>
            </w:r>
            <w:r>
              <w:rPr>
                <w:rStyle w:val="144"/>
                <w:rFonts w:hint="eastAsia" w:ascii="宋体" w:hAnsi="宋体" w:eastAsia="宋体" w:cs="宋体"/>
                <w:color w:val="auto"/>
                <w:sz w:val="21"/>
                <w:szCs w:val="21"/>
                <w:highlight w:val="none"/>
                <w:lang w:val="en-US" w:eastAsia="zh-CN"/>
              </w:rPr>
              <w:t xml:space="preserve"> </w:t>
            </w:r>
            <w:r>
              <w:rPr>
                <w:rStyle w:val="144"/>
                <w:rFonts w:hint="eastAsia" w:ascii="宋体" w:hAnsi="宋体" w:eastAsia="宋体" w:cs="宋体"/>
                <w:color w:val="auto"/>
                <w:sz w:val="21"/>
                <w:szCs w:val="21"/>
                <w:highlight w:val="none"/>
              </w:rPr>
              <w:t>未实行监理的工程项目，建设单位应成立专门机构或委托具备相应质量管理能力的单位独立履行监理职责。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0"/>
                <w:sz w:val="21"/>
                <w:szCs w:val="21"/>
                <w:highlight w:val="none"/>
              </w:rPr>
              <w:t>2.2.1.1</w:t>
            </w:r>
            <w:r>
              <w:rPr>
                <w:rFonts w:hint="eastAsia" w:ascii="宋体" w:hAnsi="宋体" w:eastAsia="宋体" w:cs="宋体"/>
                <w:color w:val="auto"/>
                <w:kern w:val="0"/>
                <w:sz w:val="21"/>
                <w:szCs w:val="21"/>
                <w:highlight w:val="none"/>
                <w:lang w:val="en-US" w:eastAsia="zh-CN"/>
              </w:rPr>
              <w:t>3</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Style w:val="144"/>
                <w:rFonts w:hint="eastAsia" w:ascii="宋体" w:hAnsi="宋体" w:eastAsia="宋体" w:cs="宋体"/>
                <w:color w:val="auto"/>
                <w:sz w:val="21"/>
                <w:szCs w:val="21"/>
                <w:highlight w:val="none"/>
              </w:rPr>
              <w:t>质量行为要求</w:t>
            </w:r>
          </w:p>
        </w:tc>
        <w:tc>
          <w:tcPr>
            <w:tcW w:w="111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Style w:val="144"/>
                <w:rFonts w:hint="eastAsia" w:ascii="宋体" w:hAnsi="宋体" w:eastAsia="宋体" w:cs="宋体"/>
                <w:color w:val="auto"/>
                <w:sz w:val="21"/>
                <w:szCs w:val="21"/>
                <w:highlight w:val="none"/>
              </w:rPr>
              <w:t>建设单位</w:t>
            </w:r>
          </w:p>
        </w:tc>
        <w:tc>
          <w:tcPr>
            <w:tcW w:w="2882"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Style w:val="144"/>
                <w:rFonts w:hint="eastAsia" w:ascii="宋体" w:hAnsi="宋体" w:eastAsia="宋体" w:cs="宋体"/>
                <w:color w:val="auto"/>
                <w:sz w:val="21"/>
                <w:szCs w:val="21"/>
                <w:highlight w:val="none"/>
              </w:rPr>
              <w:t>建立质量回访和质量投诉处理机制。</w:t>
            </w:r>
          </w:p>
        </w:tc>
        <w:tc>
          <w:tcPr>
            <w:tcW w:w="4027"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rPr>
              <w:t>《建筑与市政工程施工质量控制通用规范》GB55032-2022</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u w:val="none"/>
                <w:lang w:val="en-US" w:eastAsia="zh-CN" w:bidi="ar-SA"/>
              </w:rPr>
            </w:pPr>
            <w:r>
              <w:rPr>
                <w:rStyle w:val="144"/>
                <w:rFonts w:hint="eastAsia" w:ascii="宋体" w:hAnsi="宋体" w:eastAsia="宋体" w:cs="宋体"/>
                <w:color w:val="auto"/>
                <w:sz w:val="21"/>
                <w:szCs w:val="21"/>
                <w:highlight w:val="none"/>
              </w:rPr>
              <w:t>5.0.2</w:t>
            </w:r>
            <w:r>
              <w:rPr>
                <w:rStyle w:val="144"/>
                <w:rFonts w:hint="eastAsia" w:ascii="宋体" w:hAnsi="宋体" w:eastAsia="宋体" w:cs="宋体"/>
                <w:color w:val="auto"/>
                <w:sz w:val="21"/>
                <w:szCs w:val="21"/>
                <w:highlight w:val="none"/>
                <w:lang w:val="en-US" w:eastAsia="zh-CN"/>
              </w:rPr>
              <w:t xml:space="preserve"> </w:t>
            </w:r>
            <w:r>
              <w:rPr>
                <w:rStyle w:val="144"/>
                <w:rFonts w:hint="eastAsia" w:ascii="宋体" w:hAnsi="宋体" w:eastAsia="宋体" w:cs="宋体"/>
                <w:color w:val="auto"/>
                <w:sz w:val="21"/>
                <w:szCs w:val="21"/>
                <w:highlight w:val="none"/>
              </w:rPr>
              <w:t>建设单位应建立质量回访和质量投诉处理机制。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b/>
                <w:bCs/>
                <w:color w:val="auto"/>
                <w:spacing w:val="-6"/>
                <w:sz w:val="21"/>
                <w:szCs w:val="21"/>
                <w:highlight w:val="none"/>
              </w:rPr>
              <w:t>2.2.2</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b/>
                <w:bCs/>
                <w:color w:val="auto"/>
                <w:spacing w:val="-6"/>
                <w:sz w:val="21"/>
                <w:szCs w:val="21"/>
                <w:highlight w:val="none"/>
              </w:rPr>
              <w:t>勘察单位、设计单位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2.2.2.1</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勘察单位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设计单位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在工程施工前，就审查合格的施工图设计文件向施工单位和监理单位作出详细说明。</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《建设工程勘察设计管理条例》（国务院令第293号）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第三十条 建设工程勘察单位、设计单位应当在建设工程施工前，向施工单位和监理单位说明建设工程勘察、设计意图，解释建设工程勘察、设计文件。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2.2.2.2</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勘察单位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设计单位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及时解决施工中发现的勘察、设计问题，参与工程质量事故调查分析，并对因勘察、设计原因造成的质量事故提出相应的技术处理方案。</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《建设工程勘察设计管理条例》（国务院令第293号）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第三十条 建设工程勘察单位、设计单位应当及时解决施工中出现的勘察、设计问题。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2.2.2.3</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勘察单位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设计单位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按规定参与施工验槽。</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《建设工程勘察质量管理办法》（建设部令第163号）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第九条 工程勘察企业应当参与施工验槽，及时解决工程设计和施工中与勘察工作有关的问题。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《建筑地基基础工程施工质量验收标准》GB50202-2018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3.0.4 地基基础工程必须进行验槽，验槽检验要点应符合本标准附录A的规定。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A.1.1 勘察、设计、监理、施工、建设等各方相关技术人员应共同参加验槽。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《工程勘察通用规范》GB55017-2021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2.0.4 勘察单位应参与施工验槽，检验开挖揭露的地质条件与工程勘察报告的一致性。如有异常情况，应提出处理措施或修改设计的建议。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2.2.2.4</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勘察单位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设计单位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按规定参与分部工程、单位工程等验收。</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《江苏省房屋建筑和市政基础设施工程质量监督管理办法》（江苏省人民政府令第89号）</w:t>
            </w:r>
          </w:p>
        </w:tc>
        <w:tc>
          <w:tcPr>
            <w:tcW w:w="11060" w:type="dxa"/>
            <w:vAlign w:val="center"/>
          </w:tcPr>
          <w:p>
            <w:pPr>
              <w:keepNext w:val="0"/>
              <w:keepLines w:val="0"/>
              <w:pageBreakBefore w:val="0"/>
              <w:numPr>
                <w:ilvl w:val="0"/>
                <w:numId w:val="4"/>
              </w:numPr>
              <w:kinsoku/>
              <w:wordWrap/>
              <w:overflowPunct/>
              <w:topLinePunct w:val="0"/>
              <w:autoSpaceDE/>
              <w:autoSpaceDN/>
              <w:bidi w:val="0"/>
              <w:spacing w:line="260" w:lineRule="atLeast"/>
              <w:ind w:left="0"/>
              <w:jc w:val="left"/>
              <w:rPr>
                <w:rFonts w:hint="eastAsia" w:ascii="宋体" w:hAnsi="宋体" w:eastAsia="宋体" w:cs="宋体"/>
                <w:snapToGrid w:val="0"/>
                <w:color w:val="auto"/>
                <w:spacing w:val="-6"/>
                <w:sz w:val="21"/>
                <w:szCs w:val="21"/>
                <w:highlight w:val="none"/>
              </w:rPr>
            </w:pPr>
            <w:r>
              <w:rPr>
                <w:rFonts w:hint="eastAsia" w:ascii="宋体" w:hAnsi="宋体" w:eastAsia="宋体" w:cs="宋体"/>
                <w:snapToGrid w:val="0"/>
                <w:color w:val="auto"/>
                <w:spacing w:val="-6"/>
                <w:sz w:val="21"/>
                <w:szCs w:val="21"/>
                <w:highlight w:val="none"/>
              </w:rPr>
              <w:t>勘察单位、设计单位应当履行下列工程质量义务：</w:t>
            </w:r>
          </w:p>
          <w:p>
            <w:pPr>
              <w:keepNext w:val="0"/>
              <w:keepLines w:val="0"/>
              <w:pageBreakBefore w:val="0"/>
              <w:numPr>
                <w:numId w:val="0"/>
              </w:numPr>
              <w:kinsoku/>
              <w:wordWrap/>
              <w:overflowPunct/>
              <w:topLinePunct w:val="0"/>
              <w:autoSpaceDE/>
              <w:autoSpaceDN/>
              <w:bidi w:val="0"/>
              <w:spacing w:line="260" w:lineRule="atLeast"/>
              <w:ind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snapToGrid w:val="0"/>
                <w:color w:val="auto"/>
                <w:spacing w:val="-6"/>
                <w:sz w:val="21"/>
                <w:szCs w:val="21"/>
                <w:highlight w:val="none"/>
              </w:rPr>
              <w:t>（三）按照规定参加工程相关验收并出具工程质量验收意见。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《建筑与市政工程施工质量控制通用规范》GB55032-2022</w:t>
            </w:r>
          </w:p>
        </w:tc>
        <w:tc>
          <w:tcPr>
            <w:tcW w:w="11060" w:type="dxa"/>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4.3.3 </w:t>
            </w:r>
            <w:r>
              <w:rPr>
                <w:rFonts w:hint="eastAsia" w:ascii="宋体" w:hAnsi="宋体" w:eastAsia="宋体" w:cs="宋体"/>
                <w:color w:val="auto"/>
                <w:sz w:val="21"/>
                <w:szCs w:val="21"/>
                <w:highlight w:val="none"/>
              </w:rPr>
              <w:t>分部工程应由总监理工程师组织施工单位项目负责人和项目技术负责人等进行验收。勘察、设计单位项目负责人和施工单位技术、质量部门负责人应参加地基与基础分部工程的验收，设计单位项目负责人和施工单位技术、质量部门负责人应参加主体结构、节能分部工程的验收。</w:t>
            </w:r>
          </w:p>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4.3.4 单位工程完工后，各相关单位应按下列要求进行工程竣工验收：</w:t>
            </w:r>
          </w:p>
          <w:p>
            <w:pPr>
              <w:keepNext w:val="0"/>
              <w:keepLines w:val="0"/>
              <w:pageBreakBefore w:val="0"/>
              <w:widowControl/>
              <w:kinsoku/>
              <w:wordWrap/>
              <w:overflowPunct/>
              <w:topLinePunct w:val="0"/>
              <w:autoSpaceDE/>
              <w:autoSpaceDN/>
              <w:bidi w:val="0"/>
              <w:spacing w:line="260" w:lineRule="atLeast"/>
              <w:ind w:left="0" w:firstLine="210" w:firstLineChars="10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勘察单位应编制勘察工程质量检查报告，按规定程序审批后向建设单位提交；</w:t>
            </w:r>
          </w:p>
          <w:p>
            <w:pPr>
              <w:keepNext w:val="0"/>
              <w:keepLines w:val="0"/>
              <w:pageBreakBefore w:val="0"/>
              <w:widowControl/>
              <w:kinsoku/>
              <w:wordWrap/>
              <w:overflowPunct/>
              <w:topLinePunct w:val="0"/>
              <w:autoSpaceDE/>
              <w:autoSpaceDN/>
              <w:bidi w:val="0"/>
              <w:spacing w:line="260" w:lineRule="atLeast"/>
              <w:ind w:left="0" w:firstLine="210" w:firstLineChars="10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设计单位应对设计文件及施工过程的设计变更进行检查，并应编制设计工程质量检查报告，按规定程序审批后向建设单位提交；</w:t>
            </w:r>
          </w:p>
          <w:p>
            <w:pPr>
              <w:keepNext w:val="0"/>
              <w:keepLines w:val="0"/>
              <w:pageBreakBefore w:val="0"/>
              <w:widowControl/>
              <w:kinsoku/>
              <w:wordWrap/>
              <w:overflowPunct/>
              <w:topLinePunct w:val="0"/>
              <w:autoSpaceDE/>
              <w:autoSpaceDN/>
              <w:bidi w:val="0"/>
              <w:spacing w:line="260" w:lineRule="atLeast"/>
              <w:ind w:left="0" w:firstLine="210" w:firstLineChars="10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建设单位应在竣工预验收合格后组织监理、施工、设计、勘察单位等相关单位项目负责人进行工程竣工验收。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《建筑工程施工质量验收统一标准》</w:t>
            </w:r>
            <w:r>
              <w:rPr>
                <w:rStyle w:val="145"/>
                <w:rFonts w:hint="eastAsia" w:ascii="宋体" w:hAnsi="宋体" w:eastAsia="宋体" w:cs="宋体"/>
                <w:color w:val="auto"/>
                <w:sz w:val="21"/>
                <w:szCs w:val="21"/>
                <w:highlight w:val="none"/>
              </w:rPr>
              <w:t>GB50300-2013</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sz w:val="21"/>
                <w:szCs w:val="21"/>
                <w:highlight w:val="none"/>
              </w:rPr>
            </w:pPr>
            <w:r>
              <w:rPr>
                <w:rStyle w:val="145"/>
                <w:rFonts w:hint="eastAsia" w:ascii="宋体" w:hAnsi="宋体" w:eastAsia="宋体" w:cs="宋体"/>
                <w:color w:val="auto"/>
                <w:sz w:val="21"/>
                <w:szCs w:val="21"/>
                <w:highlight w:val="none"/>
              </w:rPr>
              <w:t xml:space="preserve">6.0.3 </w:t>
            </w:r>
            <w:r>
              <w:rPr>
                <w:rStyle w:val="144"/>
                <w:rFonts w:hint="eastAsia" w:ascii="宋体" w:hAnsi="宋体" w:eastAsia="宋体" w:cs="宋体"/>
                <w:color w:val="auto"/>
                <w:sz w:val="21"/>
                <w:szCs w:val="21"/>
                <w:highlight w:val="none"/>
              </w:rPr>
              <w:t>分部工程应由总监理工程师组织施工单位项目负责人和项目技术负责人等进行验收。勘察单位、设计单位项目负责人和施工单位技术、质量部门负责人应参加地基与基础分部工程的验收。设计单位项目负责人和施工单位技术、质量部门负责人应参加主体结构、节能分部工程的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pacing w:val="-6"/>
                <w:sz w:val="21"/>
                <w:szCs w:val="21"/>
                <w:highlight w:val="none"/>
              </w:rPr>
            </w:pPr>
            <w:r>
              <w:rPr>
                <w:rFonts w:hint="eastAsia" w:ascii="宋体" w:hAnsi="宋体" w:eastAsia="宋体" w:cs="宋体"/>
                <w:b/>
                <w:bCs/>
                <w:color w:val="auto"/>
                <w:spacing w:val="-6"/>
                <w:sz w:val="21"/>
                <w:szCs w:val="21"/>
                <w:highlight w:val="none"/>
              </w:rPr>
              <w:t>2.2.3</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b/>
                <w:bCs/>
                <w:color w:val="auto"/>
                <w:spacing w:val="-6"/>
                <w:sz w:val="21"/>
                <w:szCs w:val="21"/>
                <w:highlight w:val="none"/>
              </w:rPr>
              <w:t>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2.2.3.1</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不得违法分包、转包工程。</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Style w:val="144"/>
                <w:rFonts w:hint="eastAsia" w:ascii="宋体" w:hAnsi="宋体" w:eastAsia="宋体" w:cs="宋体"/>
                <w:color w:val="auto"/>
                <w:sz w:val="21"/>
                <w:szCs w:val="21"/>
                <w:highlight w:val="none"/>
              </w:rPr>
              <w:t>《建设工程质量管理条例》（</w:t>
            </w:r>
            <w:r>
              <w:rPr>
                <w:rStyle w:val="145"/>
                <w:rFonts w:hint="eastAsia" w:ascii="宋体" w:hAnsi="宋体" w:eastAsia="宋体" w:cs="宋体"/>
                <w:color w:val="auto"/>
                <w:sz w:val="21"/>
                <w:szCs w:val="21"/>
                <w:highlight w:val="none"/>
              </w:rPr>
              <w:t>2000</w:t>
            </w:r>
            <w:r>
              <w:rPr>
                <w:rStyle w:val="144"/>
                <w:rFonts w:hint="eastAsia" w:ascii="宋体" w:hAnsi="宋体" w:eastAsia="宋体" w:cs="宋体"/>
                <w:color w:val="auto"/>
                <w:sz w:val="21"/>
                <w:szCs w:val="21"/>
                <w:highlight w:val="none"/>
              </w:rPr>
              <w:t>年国务院令第</w:t>
            </w:r>
            <w:r>
              <w:rPr>
                <w:rStyle w:val="145"/>
                <w:rFonts w:hint="eastAsia" w:ascii="宋体" w:hAnsi="宋体" w:eastAsia="宋体" w:cs="宋体"/>
                <w:color w:val="auto"/>
                <w:sz w:val="21"/>
                <w:szCs w:val="21"/>
                <w:highlight w:val="none"/>
              </w:rPr>
              <w:t>279</w:t>
            </w:r>
            <w:r>
              <w:rPr>
                <w:rStyle w:val="144"/>
                <w:rFonts w:hint="eastAsia" w:ascii="宋体" w:hAnsi="宋体" w:eastAsia="宋体" w:cs="宋体"/>
                <w:color w:val="auto"/>
                <w:sz w:val="21"/>
                <w:szCs w:val="21"/>
                <w:highlight w:val="none"/>
              </w:rPr>
              <w:t>号；</w:t>
            </w:r>
            <w:r>
              <w:rPr>
                <w:rStyle w:val="145"/>
                <w:rFonts w:hint="eastAsia" w:ascii="宋体" w:hAnsi="宋体" w:eastAsia="宋体" w:cs="宋体"/>
                <w:color w:val="auto"/>
                <w:sz w:val="21"/>
                <w:szCs w:val="21"/>
                <w:highlight w:val="none"/>
              </w:rPr>
              <w:t>2019</w:t>
            </w:r>
            <w:r>
              <w:rPr>
                <w:rStyle w:val="144"/>
                <w:rFonts w:hint="eastAsia" w:ascii="宋体" w:hAnsi="宋体" w:eastAsia="宋体" w:cs="宋体"/>
                <w:color w:val="auto"/>
                <w:sz w:val="21"/>
                <w:szCs w:val="21"/>
                <w:highlight w:val="none"/>
              </w:rPr>
              <w:t>年第二次修订）</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第二十五条第三款 施工单位不得转包或者违法分包工程。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2.2.3.2</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项目经理资格符合要求，并到岗履职。</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《建筑施工项目经理质量安全责任十项规定（试行）》（</w:t>
            </w:r>
            <w:r>
              <w:rPr>
                <w:rFonts w:hint="eastAsia" w:ascii="宋体" w:hAnsi="宋体" w:eastAsia="宋体" w:cs="宋体"/>
                <w:color w:val="auto"/>
                <w:spacing w:val="-6"/>
                <w:sz w:val="21"/>
                <w:szCs w:val="21"/>
                <w:highlight w:val="none"/>
                <w:shd w:val="clear" w:color="auto" w:fill="FFFFFF"/>
              </w:rPr>
              <w:t>建质[2014]123号</w:t>
            </w:r>
            <w:r>
              <w:rPr>
                <w:rFonts w:hint="eastAsia" w:ascii="宋体" w:hAnsi="宋体" w:eastAsia="宋体" w:cs="宋体"/>
                <w:color w:val="auto"/>
                <w:spacing w:val="-6"/>
                <w:sz w:val="21"/>
                <w:szCs w:val="21"/>
                <w:highlight w:val="none"/>
              </w:rPr>
              <w:t>）</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第一条 建筑施工项目经理（以下简称项目经理）必须按规定取得相应执业资格和安全生产考核合格证书；合同约定的项目经理必须在岗履职，不得违反规定同时在两个及两个以上的工程项目担任项目经理。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2.2.3.3</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建立健全质量管理制度，设置项目质量管理机构，配备质量管理人员。</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Style w:val="144"/>
                <w:rFonts w:hint="eastAsia" w:ascii="宋体" w:hAnsi="宋体" w:eastAsia="宋体" w:cs="宋体"/>
                <w:color w:val="auto"/>
                <w:sz w:val="21"/>
                <w:szCs w:val="21"/>
                <w:highlight w:val="none"/>
              </w:rPr>
              <w:t>《建设工程质量管理条例》（</w:t>
            </w:r>
            <w:r>
              <w:rPr>
                <w:rStyle w:val="145"/>
                <w:rFonts w:hint="eastAsia" w:ascii="宋体" w:hAnsi="宋体" w:eastAsia="宋体" w:cs="宋体"/>
                <w:color w:val="auto"/>
                <w:sz w:val="21"/>
                <w:szCs w:val="21"/>
                <w:highlight w:val="none"/>
              </w:rPr>
              <w:t>2000</w:t>
            </w:r>
            <w:r>
              <w:rPr>
                <w:rStyle w:val="144"/>
                <w:rFonts w:hint="eastAsia" w:ascii="宋体" w:hAnsi="宋体" w:eastAsia="宋体" w:cs="宋体"/>
                <w:color w:val="auto"/>
                <w:sz w:val="21"/>
                <w:szCs w:val="21"/>
                <w:highlight w:val="none"/>
              </w:rPr>
              <w:t>年国务院令第</w:t>
            </w:r>
            <w:r>
              <w:rPr>
                <w:rStyle w:val="145"/>
                <w:rFonts w:hint="eastAsia" w:ascii="宋体" w:hAnsi="宋体" w:eastAsia="宋体" w:cs="宋体"/>
                <w:color w:val="auto"/>
                <w:sz w:val="21"/>
                <w:szCs w:val="21"/>
                <w:highlight w:val="none"/>
              </w:rPr>
              <w:t>279</w:t>
            </w:r>
            <w:r>
              <w:rPr>
                <w:rStyle w:val="144"/>
                <w:rFonts w:hint="eastAsia" w:ascii="宋体" w:hAnsi="宋体" w:eastAsia="宋体" w:cs="宋体"/>
                <w:color w:val="auto"/>
                <w:sz w:val="21"/>
                <w:szCs w:val="21"/>
                <w:highlight w:val="none"/>
              </w:rPr>
              <w:t>号；</w:t>
            </w:r>
            <w:r>
              <w:rPr>
                <w:rStyle w:val="145"/>
                <w:rFonts w:hint="eastAsia" w:ascii="宋体" w:hAnsi="宋体" w:eastAsia="宋体" w:cs="宋体"/>
                <w:color w:val="auto"/>
                <w:sz w:val="21"/>
                <w:szCs w:val="21"/>
                <w:highlight w:val="none"/>
              </w:rPr>
              <w:t>2019</w:t>
            </w:r>
            <w:r>
              <w:rPr>
                <w:rStyle w:val="144"/>
                <w:rFonts w:hint="eastAsia" w:ascii="宋体" w:hAnsi="宋体" w:eastAsia="宋体" w:cs="宋体"/>
                <w:color w:val="auto"/>
                <w:sz w:val="21"/>
                <w:szCs w:val="21"/>
                <w:highlight w:val="none"/>
              </w:rPr>
              <w:t>年第二次修订）</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第二十六条 第二款 施工单位应当建立质量责任制，确定工程项目的项目经理、技术负责人和施工管理负责人。</w:t>
            </w:r>
          </w:p>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第三十条 施工单位必须建立、健全施工质量的检验制度，严格工序管理，作好隐蔽工程的质量检查和记录。隐蔽工程在隐蔽前，施工单位应当通知建设单位和建设工程质量监督机构。</w:t>
            </w:r>
          </w:p>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第三十三条 施工单位应当建立、健全教育培训制度，加强对职工的教育培训；未经教育培训或者考核不合格的人员，不得上岗作业。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2.2.3.4</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编制并实施施工组织设计。</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《建筑施工组织设计规范》</w:t>
            </w:r>
            <w:r>
              <w:rPr>
                <w:rFonts w:hint="eastAsia" w:ascii="宋体" w:hAnsi="宋体" w:eastAsia="宋体" w:cs="宋体"/>
                <w:color w:val="auto"/>
                <w:spacing w:val="-6"/>
                <w:sz w:val="21"/>
                <w:szCs w:val="21"/>
                <w:highlight w:val="none"/>
                <w:lang w:eastAsia="zh-CN"/>
              </w:rPr>
              <w:t>GB/T</w:t>
            </w:r>
            <w:r>
              <w:rPr>
                <w:rFonts w:hint="eastAsia" w:ascii="宋体" w:hAnsi="宋体" w:eastAsia="宋体" w:cs="宋体"/>
                <w:color w:val="auto"/>
                <w:spacing w:val="-6"/>
                <w:sz w:val="21"/>
                <w:szCs w:val="21"/>
                <w:highlight w:val="none"/>
              </w:rPr>
              <w:t>50502-2009</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3.0.4 施工组织设计应包括编制依据、工程概况、施工部署、施工进度计划、施工准备与资源配置计划、主要施工方法、施工现场平面布置及主要施工管理计划等基本内容。</w:t>
            </w:r>
          </w:p>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3.0.6 项目施工前，应进行施工组织设计逐级交底；项目施工过程中，应对施工组织设计的执行情况进行检查、分析并适时调整。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2.2.3.5</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编制并实施施工方案。</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《建筑施工组织设计规范》</w:t>
            </w:r>
            <w:r>
              <w:rPr>
                <w:rFonts w:hint="eastAsia" w:ascii="宋体" w:hAnsi="宋体" w:eastAsia="宋体" w:cs="宋体"/>
                <w:color w:val="auto"/>
                <w:spacing w:val="-6"/>
                <w:sz w:val="21"/>
                <w:szCs w:val="21"/>
                <w:highlight w:val="none"/>
                <w:lang w:eastAsia="zh-CN"/>
              </w:rPr>
              <w:t>GB/T</w:t>
            </w:r>
            <w:r>
              <w:rPr>
                <w:rFonts w:hint="eastAsia" w:ascii="宋体" w:hAnsi="宋体" w:eastAsia="宋体" w:cs="宋体"/>
                <w:color w:val="auto"/>
                <w:spacing w:val="-6"/>
                <w:sz w:val="21"/>
                <w:szCs w:val="21"/>
                <w:highlight w:val="none"/>
              </w:rPr>
              <w:t>50502-2009</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lang w:eastAsia="zh-CN"/>
              </w:rPr>
            </w:pPr>
            <w:r>
              <w:rPr>
                <w:rFonts w:hint="eastAsia" w:ascii="宋体" w:hAnsi="宋体" w:eastAsia="宋体" w:cs="宋体"/>
                <w:color w:val="auto"/>
                <w:spacing w:val="-6"/>
                <w:sz w:val="21"/>
                <w:szCs w:val="21"/>
                <w:highlight w:val="none"/>
              </w:rPr>
              <w:t>详见“6 施工方案”</w:t>
            </w:r>
            <w:r>
              <w:rPr>
                <w:rFonts w:hint="eastAsia" w:ascii="宋体" w:hAnsi="宋体" w:eastAsia="宋体" w:cs="宋体"/>
                <w:color w:val="auto"/>
                <w:spacing w:val="-6"/>
                <w:sz w:val="21"/>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2.2.3.6</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按规定进行技术交底。</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《建筑施工组织设计规范》</w:t>
            </w:r>
            <w:r>
              <w:rPr>
                <w:rFonts w:hint="eastAsia" w:ascii="宋体" w:hAnsi="宋体" w:eastAsia="宋体" w:cs="宋体"/>
                <w:color w:val="auto"/>
                <w:spacing w:val="-6"/>
                <w:sz w:val="21"/>
                <w:szCs w:val="21"/>
                <w:highlight w:val="none"/>
                <w:lang w:eastAsia="zh-CN"/>
              </w:rPr>
              <w:t>GB/T</w:t>
            </w:r>
            <w:r>
              <w:rPr>
                <w:rFonts w:hint="eastAsia" w:ascii="宋体" w:hAnsi="宋体" w:eastAsia="宋体" w:cs="宋体"/>
                <w:color w:val="auto"/>
                <w:spacing w:val="-6"/>
                <w:sz w:val="21"/>
                <w:szCs w:val="21"/>
                <w:highlight w:val="none"/>
              </w:rPr>
              <w:t>50502-2009</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textAlignment w:val="center"/>
              <w:rPr>
                <w:rFonts w:hint="eastAsia" w:ascii="宋体" w:hAnsi="宋体" w:eastAsia="宋体" w:cs="宋体"/>
                <w:color w:val="auto"/>
                <w:spacing w:val="-6"/>
                <w:sz w:val="21"/>
                <w:szCs w:val="21"/>
                <w:highlight w:val="none"/>
                <w:lang w:val="en-US" w:eastAsia="zh-CN"/>
              </w:rPr>
            </w:pPr>
            <w:r>
              <w:rPr>
                <w:rFonts w:hint="eastAsia" w:ascii="宋体" w:hAnsi="宋体" w:eastAsia="宋体" w:cs="宋体"/>
                <w:color w:val="auto"/>
                <w:spacing w:val="-6"/>
                <w:sz w:val="21"/>
                <w:szCs w:val="21"/>
                <w:highlight w:val="none"/>
              </w:rPr>
              <w:t>3.0.6</w:t>
            </w:r>
            <w:r>
              <w:rPr>
                <w:rFonts w:hint="eastAsia" w:ascii="宋体" w:hAnsi="宋体" w:eastAsia="宋体" w:cs="宋体"/>
                <w:color w:val="auto"/>
                <w:spacing w:val="-6"/>
                <w:sz w:val="21"/>
                <w:szCs w:val="21"/>
                <w:highlight w:val="none"/>
                <w:lang w:val="en-US" w:eastAsia="zh-CN"/>
              </w:rPr>
              <w:t xml:space="preserve"> </w:t>
            </w:r>
            <w:r>
              <w:rPr>
                <w:rFonts w:hint="eastAsia" w:ascii="宋体" w:hAnsi="宋体" w:eastAsia="宋体" w:cs="宋体"/>
                <w:color w:val="auto"/>
                <w:sz w:val="21"/>
                <w:szCs w:val="21"/>
                <w:highlight w:val="none"/>
                <w:shd w:val="clear" w:color="auto" w:fill="FFFFFF"/>
              </w:rPr>
              <w:t>施工组织设计应实行动态管理，并符合下列规定：</w:t>
            </w:r>
          </w:p>
          <w:p>
            <w:pPr>
              <w:keepNext w:val="0"/>
              <w:keepLines w:val="0"/>
              <w:pageBreakBefore w:val="0"/>
              <w:kinsoku/>
              <w:wordWrap/>
              <w:overflowPunct/>
              <w:topLinePunct w:val="0"/>
              <w:autoSpaceDE/>
              <w:autoSpaceDN/>
              <w:bidi w:val="0"/>
              <w:spacing w:line="260" w:lineRule="atLeast"/>
              <w:ind w:left="0" w:firstLine="198" w:firstLineChars="10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3 项目施工前，应进行施工组织设计逐级交底。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2.2.3.7</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配备齐全项目</w:t>
            </w:r>
            <w:r>
              <w:rPr>
                <w:rFonts w:hint="eastAsia" w:ascii="宋体" w:hAnsi="宋体" w:eastAsia="宋体" w:cs="宋体"/>
                <w:color w:val="auto"/>
                <w:spacing w:val="-6"/>
                <w:sz w:val="21"/>
                <w:szCs w:val="21"/>
                <w:highlight w:val="none"/>
                <w:lang w:eastAsia="zh-CN"/>
              </w:rPr>
              <w:t>涉及的</w:t>
            </w:r>
            <w:r>
              <w:rPr>
                <w:rFonts w:hint="eastAsia" w:ascii="宋体" w:hAnsi="宋体" w:eastAsia="宋体" w:cs="宋体"/>
                <w:color w:val="auto"/>
                <w:spacing w:val="-6"/>
                <w:sz w:val="21"/>
                <w:szCs w:val="21"/>
                <w:highlight w:val="none"/>
              </w:rPr>
              <w:t>设计图集、施工规范及相关标准。</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《建筑施工组织设计规范》</w:t>
            </w:r>
            <w:r>
              <w:rPr>
                <w:rFonts w:hint="eastAsia" w:ascii="宋体" w:hAnsi="宋体" w:eastAsia="宋体" w:cs="宋体"/>
                <w:color w:val="auto"/>
                <w:spacing w:val="-6"/>
                <w:sz w:val="21"/>
                <w:szCs w:val="21"/>
                <w:highlight w:val="none"/>
                <w:lang w:eastAsia="zh-CN"/>
              </w:rPr>
              <w:t>GB/T</w:t>
            </w:r>
            <w:r>
              <w:rPr>
                <w:rFonts w:hint="eastAsia" w:ascii="宋体" w:hAnsi="宋体" w:eastAsia="宋体" w:cs="宋体"/>
                <w:color w:val="auto"/>
                <w:spacing w:val="-6"/>
                <w:sz w:val="21"/>
                <w:szCs w:val="21"/>
                <w:highlight w:val="none"/>
              </w:rPr>
              <w:t>50502-2009</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6.4.1 技术准备：包括施工所需技术资料的准备、图纸深化和技术交底的要求、试验检验及测试工作计划、样板制作计划以及相关单位的技术交接计划等。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2.2.3.8</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由建设单位委托见证取样检测的建筑材料、建筑构配件和设备等，未经监理单位见证取样并经检验合格的，不得擅自使用。</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Style w:val="144"/>
                <w:rFonts w:hint="eastAsia" w:ascii="宋体" w:hAnsi="宋体" w:eastAsia="宋体" w:cs="宋体"/>
                <w:color w:val="auto"/>
                <w:sz w:val="21"/>
                <w:szCs w:val="21"/>
                <w:highlight w:val="none"/>
              </w:rPr>
              <w:t>《建设工程质量管理条例》（</w:t>
            </w:r>
            <w:r>
              <w:rPr>
                <w:rStyle w:val="145"/>
                <w:rFonts w:hint="eastAsia" w:ascii="宋体" w:hAnsi="宋体" w:eastAsia="宋体" w:cs="宋体"/>
                <w:color w:val="auto"/>
                <w:sz w:val="21"/>
                <w:szCs w:val="21"/>
                <w:highlight w:val="none"/>
              </w:rPr>
              <w:t>2000</w:t>
            </w:r>
            <w:r>
              <w:rPr>
                <w:rStyle w:val="144"/>
                <w:rFonts w:hint="eastAsia" w:ascii="宋体" w:hAnsi="宋体" w:eastAsia="宋体" w:cs="宋体"/>
                <w:color w:val="auto"/>
                <w:sz w:val="21"/>
                <w:szCs w:val="21"/>
                <w:highlight w:val="none"/>
              </w:rPr>
              <w:t>年国务院令第</w:t>
            </w:r>
            <w:r>
              <w:rPr>
                <w:rStyle w:val="145"/>
                <w:rFonts w:hint="eastAsia" w:ascii="宋体" w:hAnsi="宋体" w:eastAsia="宋体" w:cs="宋体"/>
                <w:color w:val="auto"/>
                <w:sz w:val="21"/>
                <w:szCs w:val="21"/>
                <w:highlight w:val="none"/>
              </w:rPr>
              <w:t>279</w:t>
            </w:r>
            <w:r>
              <w:rPr>
                <w:rStyle w:val="144"/>
                <w:rFonts w:hint="eastAsia" w:ascii="宋体" w:hAnsi="宋体" w:eastAsia="宋体" w:cs="宋体"/>
                <w:color w:val="auto"/>
                <w:sz w:val="21"/>
                <w:szCs w:val="21"/>
                <w:highlight w:val="none"/>
              </w:rPr>
              <w:t>号；</w:t>
            </w:r>
            <w:r>
              <w:rPr>
                <w:rStyle w:val="145"/>
                <w:rFonts w:hint="eastAsia" w:ascii="宋体" w:hAnsi="宋体" w:eastAsia="宋体" w:cs="宋体"/>
                <w:color w:val="auto"/>
                <w:sz w:val="21"/>
                <w:szCs w:val="21"/>
                <w:highlight w:val="none"/>
              </w:rPr>
              <w:t>2019</w:t>
            </w:r>
            <w:r>
              <w:rPr>
                <w:rStyle w:val="144"/>
                <w:rFonts w:hint="eastAsia" w:ascii="宋体" w:hAnsi="宋体" w:eastAsia="宋体" w:cs="宋体"/>
                <w:color w:val="auto"/>
                <w:sz w:val="21"/>
                <w:szCs w:val="21"/>
                <w:highlight w:val="none"/>
              </w:rPr>
              <w:t>年第二次修订）</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第二十九条 施工单位必须按照工程设计要求、施工技术标准和合同约定，对建筑材料、建筑构配件、设备和商品混凝土进行检验，检验应当有书面记录和专人签字；未经检验或者检验不合格的，不得使用。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2.2.3.9</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按规定由施工单位负责进行进场检验的建筑材料、建筑构配件和设备，应报监理单位审查，未经监理单位审查合格的不得擅自使用。</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Style w:val="144"/>
                <w:rFonts w:hint="eastAsia" w:ascii="宋体" w:hAnsi="宋体" w:eastAsia="宋体" w:cs="宋体"/>
                <w:color w:val="auto"/>
                <w:sz w:val="21"/>
                <w:szCs w:val="21"/>
                <w:highlight w:val="none"/>
              </w:rPr>
              <w:t>《建设工程质量管理条例》（</w:t>
            </w:r>
            <w:r>
              <w:rPr>
                <w:rStyle w:val="145"/>
                <w:rFonts w:hint="eastAsia" w:ascii="宋体" w:hAnsi="宋体" w:eastAsia="宋体" w:cs="宋体"/>
                <w:color w:val="auto"/>
                <w:sz w:val="21"/>
                <w:szCs w:val="21"/>
                <w:highlight w:val="none"/>
              </w:rPr>
              <w:t>2000</w:t>
            </w:r>
            <w:r>
              <w:rPr>
                <w:rStyle w:val="144"/>
                <w:rFonts w:hint="eastAsia" w:ascii="宋体" w:hAnsi="宋体" w:eastAsia="宋体" w:cs="宋体"/>
                <w:color w:val="auto"/>
                <w:sz w:val="21"/>
                <w:szCs w:val="21"/>
                <w:highlight w:val="none"/>
              </w:rPr>
              <w:t>年国务院令第</w:t>
            </w:r>
            <w:r>
              <w:rPr>
                <w:rStyle w:val="145"/>
                <w:rFonts w:hint="eastAsia" w:ascii="宋体" w:hAnsi="宋体" w:eastAsia="宋体" w:cs="宋体"/>
                <w:color w:val="auto"/>
                <w:sz w:val="21"/>
                <w:szCs w:val="21"/>
                <w:highlight w:val="none"/>
              </w:rPr>
              <w:t>279</w:t>
            </w:r>
            <w:r>
              <w:rPr>
                <w:rStyle w:val="144"/>
                <w:rFonts w:hint="eastAsia" w:ascii="宋体" w:hAnsi="宋体" w:eastAsia="宋体" w:cs="宋体"/>
                <w:color w:val="auto"/>
                <w:sz w:val="21"/>
                <w:szCs w:val="21"/>
                <w:highlight w:val="none"/>
              </w:rPr>
              <w:t>号；</w:t>
            </w:r>
            <w:r>
              <w:rPr>
                <w:rStyle w:val="145"/>
                <w:rFonts w:hint="eastAsia" w:ascii="宋体" w:hAnsi="宋体" w:eastAsia="宋体" w:cs="宋体"/>
                <w:color w:val="auto"/>
                <w:sz w:val="21"/>
                <w:szCs w:val="21"/>
                <w:highlight w:val="none"/>
              </w:rPr>
              <w:t>2019</w:t>
            </w:r>
            <w:r>
              <w:rPr>
                <w:rStyle w:val="144"/>
                <w:rFonts w:hint="eastAsia" w:ascii="宋体" w:hAnsi="宋体" w:eastAsia="宋体" w:cs="宋体"/>
                <w:color w:val="auto"/>
                <w:sz w:val="21"/>
                <w:szCs w:val="21"/>
                <w:highlight w:val="none"/>
              </w:rPr>
              <w:t>年第二次修订）</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第三十七条 工程监理单位应当选派具备相应资格的总监理工程师和监理工程师进驻施工现场。</w:t>
            </w:r>
          </w:p>
          <w:p>
            <w:pPr>
              <w:keepNext w:val="0"/>
              <w:keepLines w:val="0"/>
              <w:pageBreakBefore w:val="0"/>
              <w:kinsoku/>
              <w:wordWrap/>
              <w:overflowPunct/>
              <w:topLinePunct w:val="0"/>
              <w:autoSpaceDE/>
              <w:autoSpaceDN/>
              <w:bidi w:val="0"/>
              <w:spacing w:line="260" w:lineRule="atLeast"/>
              <w:ind w:left="0" w:firstLine="198" w:firstLineChars="10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未经监理工程师签字，建筑材料、建筑构配件和设备不得在工程上使用或者安装，施工单位不得进行下一道工序的施工。未经总监理工程师签字，建设单位不拨付工程款，不进行竣工验收。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2.2.3.10</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严格按审查合格的施工图设计文件进行施工，不得擅自修改设计文件。</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《房屋建筑和市政基础设施工程施工图设计文件审查管理办法》</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住房城乡建设部令第46号</w:t>
            </w:r>
            <w:r>
              <w:rPr>
                <w:rFonts w:hint="eastAsia" w:ascii="宋体" w:hAnsi="宋体" w:eastAsia="宋体" w:cs="宋体"/>
                <w:color w:val="auto"/>
                <w:spacing w:val="-6"/>
                <w:sz w:val="21"/>
                <w:szCs w:val="21"/>
                <w:highlight w:val="none"/>
                <w:lang w:eastAsia="zh-CN"/>
              </w:rPr>
              <w:t>）</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第三条 施工图未经审查合格的，不得使用。从事房屋建筑工程、市政基础设施工程施工、监理等活动，以及实施对房屋建筑和市政基础设施工程质量安全监督管理，应当以审查合格的施工图为依据。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2.2.3.11</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严格按施工技术标准进行施工。</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Style w:val="144"/>
                <w:rFonts w:hint="eastAsia" w:ascii="宋体" w:hAnsi="宋体" w:eastAsia="宋体" w:cs="宋体"/>
                <w:color w:val="auto"/>
                <w:sz w:val="21"/>
                <w:szCs w:val="21"/>
                <w:highlight w:val="none"/>
              </w:rPr>
              <w:t>《建设工程质量管理条例》（</w:t>
            </w:r>
            <w:r>
              <w:rPr>
                <w:rStyle w:val="145"/>
                <w:rFonts w:hint="eastAsia" w:ascii="宋体" w:hAnsi="宋体" w:eastAsia="宋体" w:cs="宋体"/>
                <w:color w:val="auto"/>
                <w:sz w:val="21"/>
                <w:szCs w:val="21"/>
                <w:highlight w:val="none"/>
              </w:rPr>
              <w:t>2000</w:t>
            </w:r>
            <w:r>
              <w:rPr>
                <w:rStyle w:val="144"/>
                <w:rFonts w:hint="eastAsia" w:ascii="宋体" w:hAnsi="宋体" w:eastAsia="宋体" w:cs="宋体"/>
                <w:color w:val="auto"/>
                <w:sz w:val="21"/>
                <w:szCs w:val="21"/>
                <w:highlight w:val="none"/>
              </w:rPr>
              <w:t>年国务院令第</w:t>
            </w:r>
            <w:r>
              <w:rPr>
                <w:rStyle w:val="145"/>
                <w:rFonts w:hint="eastAsia" w:ascii="宋体" w:hAnsi="宋体" w:eastAsia="宋体" w:cs="宋体"/>
                <w:color w:val="auto"/>
                <w:sz w:val="21"/>
                <w:szCs w:val="21"/>
                <w:highlight w:val="none"/>
              </w:rPr>
              <w:t>279</w:t>
            </w:r>
            <w:r>
              <w:rPr>
                <w:rStyle w:val="144"/>
                <w:rFonts w:hint="eastAsia" w:ascii="宋体" w:hAnsi="宋体" w:eastAsia="宋体" w:cs="宋体"/>
                <w:color w:val="auto"/>
                <w:sz w:val="21"/>
                <w:szCs w:val="21"/>
                <w:highlight w:val="none"/>
              </w:rPr>
              <w:t>号；</w:t>
            </w:r>
            <w:r>
              <w:rPr>
                <w:rStyle w:val="145"/>
                <w:rFonts w:hint="eastAsia" w:ascii="宋体" w:hAnsi="宋体" w:eastAsia="宋体" w:cs="宋体"/>
                <w:color w:val="auto"/>
                <w:sz w:val="21"/>
                <w:szCs w:val="21"/>
                <w:highlight w:val="none"/>
              </w:rPr>
              <w:t>2019</w:t>
            </w:r>
            <w:r>
              <w:rPr>
                <w:rStyle w:val="144"/>
                <w:rFonts w:hint="eastAsia" w:ascii="宋体" w:hAnsi="宋体" w:eastAsia="宋体" w:cs="宋体"/>
                <w:color w:val="auto"/>
                <w:sz w:val="21"/>
                <w:szCs w:val="21"/>
                <w:highlight w:val="none"/>
              </w:rPr>
              <w:t>年第二次修订）</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第五十八条第二款 建筑施工企业必须按照工程设计图纸和施工技术标准施工，不得偷工减料。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2.2.3.12</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做好各类施工记录，实时记录施工过程质量管理的内容。</w:t>
            </w:r>
          </w:p>
        </w:tc>
        <w:tc>
          <w:tcPr>
            <w:tcW w:w="15087" w:type="dxa"/>
            <w:gridSpan w:val="2"/>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同“4.3 施工记录”的要求。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2.2.3.13</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按规定做好隐蔽工程质量检查和记录。</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Style w:val="144"/>
                <w:rFonts w:hint="eastAsia" w:ascii="宋体" w:hAnsi="宋体" w:eastAsia="宋体" w:cs="宋体"/>
                <w:color w:val="auto"/>
                <w:sz w:val="21"/>
                <w:szCs w:val="21"/>
                <w:highlight w:val="none"/>
              </w:rPr>
              <w:t>《建设工程质量管理条例》（</w:t>
            </w:r>
            <w:r>
              <w:rPr>
                <w:rStyle w:val="145"/>
                <w:rFonts w:hint="eastAsia" w:ascii="宋体" w:hAnsi="宋体" w:eastAsia="宋体" w:cs="宋体"/>
                <w:color w:val="auto"/>
                <w:sz w:val="21"/>
                <w:szCs w:val="21"/>
                <w:highlight w:val="none"/>
              </w:rPr>
              <w:t>2000</w:t>
            </w:r>
            <w:r>
              <w:rPr>
                <w:rStyle w:val="144"/>
                <w:rFonts w:hint="eastAsia" w:ascii="宋体" w:hAnsi="宋体" w:eastAsia="宋体" w:cs="宋体"/>
                <w:color w:val="auto"/>
                <w:sz w:val="21"/>
                <w:szCs w:val="21"/>
                <w:highlight w:val="none"/>
              </w:rPr>
              <w:t>年国务院令第</w:t>
            </w:r>
            <w:r>
              <w:rPr>
                <w:rStyle w:val="145"/>
                <w:rFonts w:hint="eastAsia" w:ascii="宋体" w:hAnsi="宋体" w:eastAsia="宋体" w:cs="宋体"/>
                <w:color w:val="auto"/>
                <w:sz w:val="21"/>
                <w:szCs w:val="21"/>
                <w:highlight w:val="none"/>
              </w:rPr>
              <w:t>279</w:t>
            </w:r>
            <w:r>
              <w:rPr>
                <w:rStyle w:val="144"/>
                <w:rFonts w:hint="eastAsia" w:ascii="宋体" w:hAnsi="宋体" w:eastAsia="宋体" w:cs="宋体"/>
                <w:color w:val="auto"/>
                <w:sz w:val="21"/>
                <w:szCs w:val="21"/>
                <w:highlight w:val="none"/>
              </w:rPr>
              <w:t>号；</w:t>
            </w:r>
            <w:r>
              <w:rPr>
                <w:rStyle w:val="145"/>
                <w:rFonts w:hint="eastAsia" w:ascii="宋体" w:hAnsi="宋体" w:eastAsia="宋体" w:cs="宋体"/>
                <w:color w:val="auto"/>
                <w:sz w:val="21"/>
                <w:szCs w:val="21"/>
                <w:highlight w:val="none"/>
              </w:rPr>
              <w:t>2019</w:t>
            </w:r>
            <w:r>
              <w:rPr>
                <w:rStyle w:val="144"/>
                <w:rFonts w:hint="eastAsia" w:ascii="宋体" w:hAnsi="宋体" w:eastAsia="宋体" w:cs="宋体"/>
                <w:color w:val="auto"/>
                <w:sz w:val="21"/>
                <w:szCs w:val="21"/>
                <w:highlight w:val="none"/>
              </w:rPr>
              <w:t>年第二次修订）</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第三十条 施工单位必须建立、健全施工质量的检验制度，严格工序管理，作好隐蔽工程的质量检查和记录。隐蔽工程在隐蔽前，施工单位应当通知建设单位和建设工程质量监督机构。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rPr>
                <w:rStyle w:val="144"/>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《建筑与市政工程施工质量控制通用规范》GB55032-2022</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lang w:val="en-US" w:eastAsia="en-US"/>
              </w:rPr>
              <w:t>3.3.4</w:t>
            </w:r>
            <w:r>
              <w:rPr>
                <w:rFonts w:hint="eastAsia" w:ascii="宋体" w:hAnsi="宋体" w:eastAsia="宋体" w:cs="宋体"/>
                <w:color w:val="auto"/>
                <w:spacing w:val="-6"/>
                <w:sz w:val="21"/>
                <w:szCs w:val="21"/>
                <w:highlight w:val="none"/>
                <w:lang w:val="en-US" w:eastAsia="zh-CN"/>
              </w:rPr>
              <w:t xml:space="preserve"> </w:t>
            </w:r>
            <w:r>
              <w:rPr>
                <w:rFonts w:hint="eastAsia" w:ascii="宋体" w:hAnsi="宋体" w:eastAsia="宋体" w:cs="宋体"/>
                <w:color w:val="auto"/>
                <w:spacing w:val="-6"/>
                <w:sz w:val="21"/>
                <w:szCs w:val="21"/>
                <w:highlight w:val="none"/>
              </w:rPr>
              <w:t>施工工序间的衔接，应符合下列规定：</w:t>
            </w:r>
          </w:p>
          <w:p>
            <w:pPr>
              <w:keepNext w:val="0"/>
              <w:keepLines w:val="0"/>
              <w:pageBreakBefore w:val="0"/>
              <w:kinsoku/>
              <w:wordWrap/>
              <w:overflowPunct/>
              <w:topLinePunct w:val="0"/>
              <w:autoSpaceDE/>
              <w:autoSpaceDN/>
              <w:bidi w:val="0"/>
              <w:spacing w:line="260" w:lineRule="atLeast"/>
              <w:ind w:left="0" w:firstLine="198" w:firstLineChars="10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4</w:t>
            </w:r>
            <w:r>
              <w:rPr>
                <w:rFonts w:hint="eastAsia" w:ascii="宋体" w:hAnsi="宋体" w:eastAsia="宋体" w:cs="宋体"/>
                <w:color w:val="auto"/>
                <w:spacing w:val="-6"/>
                <w:sz w:val="21"/>
                <w:szCs w:val="21"/>
                <w:highlight w:val="none"/>
                <w:lang w:val="en-US" w:eastAsia="zh-CN"/>
              </w:rPr>
              <w:t xml:space="preserve"> </w:t>
            </w:r>
            <w:r>
              <w:rPr>
                <w:rFonts w:hint="eastAsia" w:ascii="宋体" w:hAnsi="宋体" w:eastAsia="宋体" w:cs="宋体"/>
                <w:color w:val="auto"/>
                <w:spacing w:val="-6"/>
                <w:sz w:val="21"/>
                <w:szCs w:val="21"/>
                <w:highlight w:val="none"/>
              </w:rPr>
              <w:t>隐蔽工程在隐蔽前应由施工单位通知监理单位进行验收，并应留存现场影像资料，形成验收文件，经验收合格后方可继续施工。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2.2.3.14</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pacing w:val="-6"/>
                <w:sz w:val="21"/>
                <w:szCs w:val="21"/>
                <w:highlight w:val="none"/>
              </w:rPr>
              <w:t>施工单位应制定分项工程和检验批的划分方案并报经监理审核，按规定做好检验批、分项工程、分部工程、单位工程的质量自检及报验工作。</w:t>
            </w:r>
          </w:p>
        </w:tc>
        <w:tc>
          <w:tcPr>
            <w:tcW w:w="4027" w:type="dxa"/>
            <w:vAlign w:val="center"/>
          </w:tcPr>
          <w:p>
            <w:pPr>
              <w:keepNext w:val="0"/>
              <w:keepLines w:val="0"/>
              <w:pageBreakBefore w:val="0"/>
              <w:widowControl/>
              <w:kinsoku/>
              <w:wordWrap/>
              <w:overflowPunct/>
              <w:topLinePunct w:val="0"/>
              <w:autoSpaceDE/>
              <w:autoSpaceDN/>
              <w:bidi w:val="0"/>
              <w:spacing w:line="260" w:lineRule="atLeast"/>
              <w:ind w:left="0"/>
              <w:textAlignment w:val="center"/>
              <w:rPr>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《建筑与市政工程施工质量控制通用规范》GB55032-2022</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textAlignment w:val="center"/>
              <w:rPr>
                <w:rStyle w:val="145"/>
                <w:rFonts w:hint="eastAsia" w:ascii="宋体" w:hAnsi="宋体" w:eastAsia="宋体" w:cs="宋体"/>
                <w:color w:val="auto"/>
                <w:sz w:val="21"/>
                <w:szCs w:val="21"/>
                <w:highlight w:val="none"/>
              </w:rPr>
            </w:pPr>
            <w:r>
              <w:rPr>
                <w:rStyle w:val="145"/>
                <w:rFonts w:hint="eastAsia" w:ascii="宋体" w:hAnsi="宋体" w:eastAsia="宋体" w:cs="宋体"/>
                <w:color w:val="auto"/>
                <w:sz w:val="21"/>
                <w:szCs w:val="21"/>
                <w:highlight w:val="none"/>
              </w:rPr>
              <w:t>4.1.2 施工前，应由施工单位制定单位工程、分部工程、分项工程和检验批的划分方案，并应由监理单位审核通过后实施。施工现场情况与附录不同时，应按实际情况进行分部工程、分项工程和检验批划分，由建设单位组织监理单位、施工单位共同确定。</w:t>
            </w:r>
          </w:p>
          <w:p>
            <w:pPr>
              <w:pStyle w:val="2"/>
              <w:keepNext w:val="0"/>
              <w:keepLines w:val="0"/>
              <w:pageBreakBefore w:val="0"/>
              <w:kinsoku/>
              <w:wordWrap/>
              <w:overflowPunct/>
              <w:topLinePunct w:val="0"/>
              <w:autoSpaceDE/>
              <w:autoSpaceDN/>
              <w:bidi w:val="0"/>
              <w:spacing w:line="260" w:lineRule="atLeast"/>
              <w:ind w:left="0" w:leftChars="0" w:firstLine="0"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4.3.3 分部工程应由总监理工程师组织施工单位项目负责人和项目技术负责人等进行验收。勘察、设计单位项目负责人和施工单位技术、质量部门负责人应参加地基与基础分部工程的验收，设计单位项目负责人和施工单位技术、质量部门负责人应参加主体结构、节能分部工程的验收。</w:t>
            </w:r>
          </w:p>
          <w:p>
            <w:pPr>
              <w:pStyle w:val="2"/>
              <w:keepNext w:val="0"/>
              <w:keepLines w:val="0"/>
              <w:pageBreakBefore w:val="0"/>
              <w:kinsoku/>
              <w:wordWrap/>
              <w:overflowPunct/>
              <w:topLinePunct w:val="0"/>
              <w:autoSpaceDE/>
              <w:autoSpaceDN/>
              <w:bidi w:val="0"/>
              <w:spacing w:line="260" w:lineRule="atLeast"/>
              <w:ind w:left="0" w:leftChars="0" w:firstLine="0"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4.3.4 单位工程完工后，各相关单位应按下列要求进行工程竣工验收∶</w:t>
            </w:r>
          </w:p>
          <w:p>
            <w:pPr>
              <w:pStyle w:val="2"/>
              <w:keepNext w:val="0"/>
              <w:keepLines w:val="0"/>
              <w:pageBreakBefore w:val="0"/>
              <w:kinsoku/>
              <w:wordWrap/>
              <w:overflowPunct/>
              <w:topLinePunct w:val="0"/>
              <w:autoSpaceDE/>
              <w:autoSpaceDN/>
              <w:bidi w:val="0"/>
              <w:spacing w:line="260" w:lineRule="atLeast"/>
              <w:ind w:left="0" w:leftChars="0" w:firstLine="210" w:firstLineChars="1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施工单位应自检合格，并应编制工程竣工报告，按规定程序审批后向建设单位提交；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widowControl/>
              <w:kinsoku/>
              <w:wordWrap/>
              <w:overflowPunct/>
              <w:topLinePunct w:val="0"/>
              <w:autoSpaceDE/>
              <w:autoSpaceDN/>
              <w:bidi w:val="0"/>
              <w:spacing w:line="260" w:lineRule="atLeast"/>
              <w:ind w:left="0"/>
              <w:textAlignment w:val="center"/>
              <w:rPr>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《建筑工程施工质量验收统一标准》</w:t>
            </w:r>
            <w:r>
              <w:rPr>
                <w:rStyle w:val="145"/>
                <w:rFonts w:hint="eastAsia" w:ascii="宋体" w:hAnsi="宋体" w:eastAsia="宋体" w:cs="宋体"/>
                <w:color w:val="auto"/>
                <w:sz w:val="21"/>
                <w:szCs w:val="21"/>
                <w:highlight w:val="none"/>
              </w:rPr>
              <w:t>GB50300-2013</w:t>
            </w:r>
          </w:p>
        </w:tc>
        <w:tc>
          <w:tcPr>
            <w:tcW w:w="11060" w:type="dxa"/>
            <w:vAlign w:val="center"/>
          </w:tcPr>
          <w:p>
            <w:pPr>
              <w:pStyle w:val="113"/>
              <w:keepNext w:val="0"/>
              <w:keepLines w:val="0"/>
              <w:pageBreakBefore w:val="0"/>
              <w:shd w:val="clear" w:color="auto" w:fill="FFFFFF"/>
              <w:kinsoku/>
              <w:wordWrap/>
              <w:overflowPunct/>
              <w:topLinePunct w:val="0"/>
              <w:autoSpaceDE/>
              <w:autoSpaceDN/>
              <w:bidi w:val="0"/>
              <w:spacing w:before="0" w:beforeAutospacing="0" w:after="0" w:afterAutospacing="0" w:line="260" w:lineRule="atLeast"/>
              <w:ind w:left="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3.0.6 建筑工程施工质量应按下列要求进行验收：</w:t>
            </w:r>
          </w:p>
          <w:p>
            <w:pPr>
              <w:pStyle w:val="113"/>
              <w:keepNext w:val="0"/>
              <w:keepLines w:val="0"/>
              <w:pageBreakBefore w:val="0"/>
              <w:shd w:val="clear" w:color="auto" w:fill="FFFFFF"/>
              <w:kinsoku/>
              <w:wordWrap/>
              <w:overflowPunct/>
              <w:topLinePunct w:val="0"/>
              <w:autoSpaceDE/>
              <w:autoSpaceDN/>
              <w:bidi w:val="0"/>
              <w:spacing w:before="0" w:beforeAutospacing="0" w:after="0" w:afterAutospacing="0" w:line="260" w:lineRule="atLeast"/>
              <w:ind w:left="0" w:firstLine="210" w:firstLineChars="10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工程质量验收均应在施工单位自检合格的基础上进行。</w:t>
            </w:r>
          </w:p>
          <w:p>
            <w:pPr>
              <w:pStyle w:val="113"/>
              <w:keepNext w:val="0"/>
              <w:keepLines w:val="0"/>
              <w:pageBreakBefore w:val="0"/>
              <w:shd w:val="clear" w:color="auto" w:fill="FFFFFF"/>
              <w:kinsoku/>
              <w:wordWrap/>
              <w:overflowPunct/>
              <w:topLinePunct w:val="0"/>
              <w:autoSpaceDE/>
              <w:autoSpaceDN/>
              <w:bidi w:val="0"/>
              <w:spacing w:before="0" w:beforeAutospacing="0" w:after="0" w:afterAutospacing="0" w:line="260" w:lineRule="atLeast"/>
              <w:ind w:left="0"/>
              <w:jc w:val="both"/>
              <w:rPr>
                <w:rFonts w:hint="eastAsia" w:ascii="宋体" w:hAnsi="宋体" w:eastAsia="宋体" w:cs="宋体"/>
                <w:color w:val="auto"/>
                <w:sz w:val="21"/>
                <w:szCs w:val="21"/>
                <w:highlight w:val="none"/>
                <w:shd w:val="clear" w:color="auto" w:fill="FFFFFF"/>
              </w:rPr>
            </w:pPr>
            <w:r>
              <w:rPr>
                <w:rFonts w:hint="eastAsia" w:ascii="宋体" w:hAnsi="宋体" w:eastAsia="宋体" w:cs="宋体"/>
                <w:color w:val="auto"/>
                <w:sz w:val="21"/>
                <w:szCs w:val="21"/>
                <w:highlight w:val="none"/>
                <w:shd w:val="clear" w:color="auto" w:fill="FFFFFF"/>
              </w:rPr>
              <w:t>4.0.1 建筑工程施工质量验收应划分为单位工程、分部工程、分项工程和检验批。</w:t>
            </w:r>
          </w:p>
          <w:p>
            <w:pPr>
              <w:keepNext w:val="0"/>
              <w:keepLines w:val="0"/>
              <w:pageBreakBefore w:val="0"/>
              <w:widowControl/>
              <w:kinsoku/>
              <w:wordWrap/>
              <w:overflowPunct/>
              <w:topLinePunct w:val="0"/>
              <w:autoSpaceDE/>
              <w:autoSpaceDN/>
              <w:bidi w:val="0"/>
              <w:spacing w:line="260" w:lineRule="atLeast"/>
              <w:ind w:left="0"/>
              <w:textAlignment w:val="center"/>
              <w:rPr>
                <w:rStyle w:val="145"/>
                <w:rFonts w:hint="eastAsia" w:ascii="宋体" w:hAnsi="宋体" w:eastAsia="宋体" w:cs="宋体"/>
                <w:color w:val="auto"/>
                <w:sz w:val="21"/>
                <w:szCs w:val="21"/>
                <w:highlight w:val="none"/>
              </w:rPr>
            </w:pPr>
            <w:r>
              <w:rPr>
                <w:rStyle w:val="145"/>
                <w:rFonts w:hint="eastAsia" w:ascii="宋体" w:hAnsi="宋体" w:eastAsia="宋体" w:cs="宋体"/>
                <w:color w:val="auto"/>
                <w:sz w:val="21"/>
                <w:szCs w:val="21"/>
                <w:highlight w:val="none"/>
              </w:rPr>
              <w:t>4.0.7</w:t>
            </w:r>
            <w:r>
              <w:rPr>
                <w:rStyle w:val="145"/>
                <w:rFonts w:hint="eastAsia" w:ascii="宋体" w:hAnsi="宋体" w:eastAsia="宋体" w:cs="宋体"/>
                <w:color w:val="auto"/>
                <w:sz w:val="21"/>
                <w:szCs w:val="21"/>
                <w:highlight w:val="none"/>
                <w:lang w:val="en-US" w:eastAsia="zh-CN"/>
              </w:rPr>
              <w:t xml:space="preserve"> </w:t>
            </w:r>
            <w:r>
              <w:rPr>
                <w:rStyle w:val="145"/>
                <w:rFonts w:hint="eastAsia" w:ascii="宋体" w:hAnsi="宋体" w:eastAsia="宋体" w:cs="宋体"/>
                <w:color w:val="auto"/>
                <w:sz w:val="21"/>
                <w:szCs w:val="21"/>
                <w:highlight w:val="none"/>
              </w:rPr>
              <w:t>施工前，应由施工单位制定分项工程和检验批的划分方案，并由监理单位审核。</w:t>
            </w:r>
          </w:p>
          <w:p>
            <w:pPr>
              <w:pStyle w:val="113"/>
              <w:keepNext w:val="0"/>
              <w:keepLines w:val="0"/>
              <w:pageBreakBefore w:val="0"/>
              <w:shd w:val="clear" w:color="auto" w:fill="FFFFFF"/>
              <w:kinsoku/>
              <w:wordWrap/>
              <w:overflowPunct/>
              <w:topLinePunct w:val="0"/>
              <w:autoSpaceDE/>
              <w:autoSpaceDN/>
              <w:bidi w:val="0"/>
              <w:spacing w:before="0" w:beforeAutospacing="0" w:after="0" w:afterAutospacing="0" w:line="260" w:lineRule="atLeast"/>
              <w:ind w:left="0"/>
              <w:jc w:val="both"/>
              <w:rPr>
                <w:rFonts w:hint="eastAsia" w:ascii="宋体" w:hAnsi="宋体" w:eastAsia="宋体" w:cs="宋体"/>
                <w:color w:val="auto"/>
                <w:sz w:val="21"/>
                <w:szCs w:val="21"/>
                <w:highlight w:val="none"/>
                <w:shd w:val="clear" w:color="auto" w:fill="FFFFFF"/>
                <w:lang w:val="en-US" w:eastAsia="zh-CN"/>
              </w:rPr>
            </w:pPr>
            <w:r>
              <w:rPr>
                <w:rStyle w:val="145"/>
                <w:rFonts w:hint="eastAsia" w:ascii="宋体" w:hAnsi="宋体" w:eastAsia="宋体" w:cs="宋体"/>
                <w:color w:val="auto"/>
                <w:sz w:val="21"/>
                <w:szCs w:val="21"/>
                <w:highlight w:val="none"/>
              </w:rPr>
              <w:t>6.0.5</w:t>
            </w:r>
            <w:r>
              <w:rPr>
                <w:rStyle w:val="145"/>
                <w:rFonts w:hint="eastAsia" w:ascii="宋体" w:hAnsi="宋体" w:eastAsia="宋体" w:cs="宋体"/>
                <w:color w:val="auto"/>
                <w:sz w:val="21"/>
                <w:szCs w:val="21"/>
                <w:highlight w:val="none"/>
                <w:lang w:val="en-US" w:eastAsia="zh-CN"/>
              </w:rPr>
              <w:t xml:space="preserve"> </w:t>
            </w:r>
            <w:r>
              <w:rPr>
                <w:rStyle w:val="145"/>
                <w:rFonts w:hint="eastAsia" w:ascii="宋体" w:hAnsi="宋体" w:eastAsia="宋体" w:cs="宋体"/>
                <w:color w:val="auto"/>
                <w:sz w:val="21"/>
                <w:szCs w:val="21"/>
                <w:highlight w:val="none"/>
              </w:rPr>
              <w:t>单位工程完工后，施工单位应组织有关人员进行自检。总监理工程师应组织各专业监理工程师对工程质量进行竣工预验收。存在施工质量问题时，应由施工单位整改。整改完毕后，由施工单位向建设单位提交工程竣工报告，申请工程竣工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2.2.3.15</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按规定及时处理质量问题和质量事故，做好记录。</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Style w:val="144"/>
                <w:rFonts w:hint="eastAsia" w:ascii="宋体" w:hAnsi="宋体" w:eastAsia="宋体" w:cs="宋体"/>
                <w:color w:val="auto"/>
                <w:sz w:val="21"/>
                <w:szCs w:val="21"/>
                <w:highlight w:val="none"/>
              </w:rPr>
              <w:t>《建设工程质量管理条例》（</w:t>
            </w:r>
            <w:r>
              <w:rPr>
                <w:rStyle w:val="145"/>
                <w:rFonts w:hint="eastAsia" w:ascii="宋体" w:hAnsi="宋体" w:eastAsia="宋体" w:cs="宋体"/>
                <w:color w:val="auto"/>
                <w:sz w:val="21"/>
                <w:szCs w:val="21"/>
                <w:highlight w:val="none"/>
              </w:rPr>
              <w:t>2000</w:t>
            </w:r>
            <w:r>
              <w:rPr>
                <w:rStyle w:val="144"/>
                <w:rFonts w:hint="eastAsia" w:ascii="宋体" w:hAnsi="宋体" w:eastAsia="宋体" w:cs="宋体"/>
                <w:color w:val="auto"/>
                <w:sz w:val="21"/>
                <w:szCs w:val="21"/>
                <w:highlight w:val="none"/>
              </w:rPr>
              <w:t>年国务院令第</w:t>
            </w:r>
            <w:r>
              <w:rPr>
                <w:rStyle w:val="145"/>
                <w:rFonts w:hint="eastAsia" w:ascii="宋体" w:hAnsi="宋体" w:eastAsia="宋体" w:cs="宋体"/>
                <w:color w:val="auto"/>
                <w:sz w:val="21"/>
                <w:szCs w:val="21"/>
                <w:highlight w:val="none"/>
              </w:rPr>
              <w:t>279</w:t>
            </w:r>
            <w:r>
              <w:rPr>
                <w:rStyle w:val="144"/>
                <w:rFonts w:hint="eastAsia" w:ascii="宋体" w:hAnsi="宋体" w:eastAsia="宋体" w:cs="宋体"/>
                <w:color w:val="auto"/>
                <w:sz w:val="21"/>
                <w:szCs w:val="21"/>
                <w:highlight w:val="none"/>
              </w:rPr>
              <w:t>号；</w:t>
            </w:r>
            <w:r>
              <w:rPr>
                <w:rStyle w:val="145"/>
                <w:rFonts w:hint="eastAsia" w:ascii="宋体" w:hAnsi="宋体" w:eastAsia="宋体" w:cs="宋体"/>
                <w:color w:val="auto"/>
                <w:sz w:val="21"/>
                <w:szCs w:val="21"/>
                <w:highlight w:val="none"/>
              </w:rPr>
              <w:t>2019</w:t>
            </w:r>
            <w:r>
              <w:rPr>
                <w:rStyle w:val="144"/>
                <w:rFonts w:hint="eastAsia" w:ascii="宋体" w:hAnsi="宋体" w:eastAsia="宋体" w:cs="宋体"/>
                <w:color w:val="auto"/>
                <w:sz w:val="21"/>
                <w:szCs w:val="21"/>
                <w:highlight w:val="none"/>
              </w:rPr>
              <w:t>年第二次修订）</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第三十二条 施工单位对施工中出现质量问题的建设工程或者竣工验收不合格的建设工程，应当负责返修。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widowControl/>
              <w:kinsoku/>
              <w:wordWrap/>
              <w:overflowPunct/>
              <w:topLinePunct w:val="0"/>
              <w:autoSpaceDE/>
              <w:autoSpaceDN/>
              <w:bidi w:val="0"/>
              <w:spacing w:line="260" w:lineRule="atLeast"/>
              <w:ind w:left="0"/>
              <w:textAlignment w:val="center"/>
              <w:rPr>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《建筑工程施工质量验收统一标准》</w:t>
            </w:r>
            <w:r>
              <w:rPr>
                <w:rStyle w:val="145"/>
                <w:rFonts w:hint="eastAsia" w:ascii="宋体" w:hAnsi="宋体" w:eastAsia="宋体" w:cs="宋体"/>
                <w:color w:val="auto"/>
                <w:sz w:val="21"/>
                <w:szCs w:val="21"/>
                <w:highlight w:val="none"/>
              </w:rPr>
              <w:t>GB50300-2013</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textAlignment w:val="center"/>
              <w:rPr>
                <w:rFonts w:hint="eastAsia" w:ascii="宋体" w:hAnsi="宋体" w:eastAsia="宋体" w:cs="宋体"/>
                <w:color w:val="auto"/>
                <w:sz w:val="21"/>
                <w:szCs w:val="21"/>
                <w:highlight w:val="none"/>
              </w:rPr>
            </w:pPr>
            <w:r>
              <w:rPr>
                <w:rStyle w:val="145"/>
                <w:rFonts w:hint="eastAsia" w:ascii="宋体" w:hAnsi="宋体" w:eastAsia="宋体" w:cs="宋体"/>
                <w:color w:val="auto"/>
                <w:sz w:val="21"/>
                <w:szCs w:val="21"/>
                <w:highlight w:val="none"/>
              </w:rPr>
              <w:t>5.0.7</w:t>
            </w:r>
            <w:r>
              <w:rPr>
                <w:rStyle w:val="145"/>
                <w:rFonts w:hint="eastAsia" w:ascii="宋体" w:hAnsi="宋体" w:eastAsia="宋体" w:cs="宋体"/>
                <w:color w:val="auto"/>
                <w:sz w:val="21"/>
                <w:szCs w:val="21"/>
                <w:highlight w:val="none"/>
                <w:lang w:val="en-US" w:eastAsia="zh-CN"/>
              </w:rPr>
              <w:t xml:space="preserve"> </w:t>
            </w:r>
            <w:r>
              <w:rPr>
                <w:rStyle w:val="144"/>
                <w:rFonts w:hint="eastAsia" w:ascii="宋体" w:hAnsi="宋体" w:eastAsia="宋体" w:cs="宋体"/>
                <w:color w:val="auto"/>
                <w:sz w:val="21"/>
                <w:szCs w:val="21"/>
                <w:highlight w:val="none"/>
              </w:rPr>
              <w:t>工程质量控制资料应齐全完整。当部分资料缺失时，应委托有资质的检测机构按有关标准进行相应的实体检验或抽样试验。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pStyle w:val="18"/>
              <w:keepNext w:val="0"/>
              <w:keepLines w:val="0"/>
              <w:pageBreakBefore w:val="0"/>
              <w:kinsoku/>
              <w:wordWrap/>
              <w:overflowPunct/>
              <w:topLinePunct w:val="0"/>
              <w:autoSpaceDE/>
              <w:autoSpaceDN/>
              <w:bidi w:val="0"/>
              <w:spacing w:before="0" w:after="0" w:line="260" w:lineRule="atLeast"/>
              <w:ind w:left="0"/>
              <w:jc w:val="both"/>
              <w:rPr>
                <w:rFonts w:hint="eastAsia" w:ascii="宋体" w:hAnsi="宋体" w:eastAsia="宋体" w:cs="宋体"/>
                <w:b w:val="0"/>
                <w:color w:val="auto"/>
                <w:spacing w:val="-6"/>
                <w:sz w:val="21"/>
                <w:szCs w:val="21"/>
                <w:highlight w:val="none"/>
              </w:rPr>
            </w:pPr>
            <w:r>
              <w:rPr>
                <w:rFonts w:hint="eastAsia" w:ascii="宋体" w:hAnsi="宋体" w:eastAsia="宋体" w:cs="宋体"/>
                <w:b w:val="0"/>
                <w:color w:val="auto"/>
                <w:spacing w:val="-6"/>
                <w:sz w:val="21"/>
                <w:szCs w:val="21"/>
                <w:highlight w:val="none"/>
              </w:rPr>
              <w:t>2.2.3.16</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实施样板引路制度，设置实体样板和工序样板。</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《建筑与市政工程施工质量控制通用规范》</w:t>
            </w:r>
            <w:r>
              <w:rPr>
                <w:rFonts w:hint="eastAsia" w:ascii="宋体" w:hAnsi="宋体" w:eastAsia="宋体" w:cs="宋体"/>
                <w:color w:val="auto"/>
                <w:spacing w:val="-6"/>
                <w:sz w:val="21"/>
                <w:szCs w:val="21"/>
                <w:highlight w:val="none"/>
                <w:lang w:eastAsia="zh-CN"/>
              </w:rPr>
              <w:t>GB</w:t>
            </w:r>
            <w:r>
              <w:rPr>
                <w:rFonts w:hint="eastAsia" w:ascii="宋体" w:hAnsi="宋体" w:eastAsia="宋体" w:cs="宋体"/>
                <w:color w:val="auto"/>
                <w:spacing w:val="-6"/>
                <w:sz w:val="21"/>
                <w:szCs w:val="21"/>
                <w:highlight w:val="none"/>
              </w:rPr>
              <w:t>55032-2022</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3.1.6 分项工程施工，应实施样板示范制度，以多种形式直观展示关键部位、关键工序的做法与要求。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2.2.3.17</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按规定处置不合格试验报告。</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《建筑工程检测试验技术管理规范》</w:t>
            </w:r>
            <w:r>
              <w:rPr>
                <w:rFonts w:hint="eastAsia" w:ascii="宋体" w:hAnsi="宋体" w:eastAsia="宋体" w:cs="宋体"/>
                <w:color w:val="auto"/>
                <w:spacing w:val="-6"/>
                <w:sz w:val="21"/>
                <w:szCs w:val="21"/>
                <w:highlight w:val="none"/>
                <w:lang w:eastAsia="zh-CN"/>
              </w:rPr>
              <w:t>JGJ</w:t>
            </w:r>
            <w:r>
              <w:rPr>
                <w:rFonts w:hint="eastAsia" w:ascii="宋体" w:hAnsi="宋体" w:eastAsia="宋体" w:cs="宋体"/>
                <w:color w:val="auto"/>
                <w:spacing w:val="-6"/>
                <w:sz w:val="21"/>
                <w:szCs w:val="21"/>
                <w:highlight w:val="none"/>
              </w:rPr>
              <w:t>190-2010</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5.7.4 对检测试验结果不合格的报告严禁抽撤、替换或修改。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2.2.3.18</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施工单位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履行工程质量保修责任。</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Style w:val="144"/>
                <w:rFonts w:hint="eastAsia" w:ascii="宋体" w:hAnsi="宋体" w:eastAsia="宋体" w:cs="宋体"/>
                <w:color w:val="auto"/>
                <w:sz w:val="21"/>
                <w:szCs w:val="21"/>
                <w:highlight w:val="none"/>
              </w:rPr>
              <w:t>《建设工程质量管理条例》（</w:t>
            </w:r>
            <w:r>
              <w:rPr>
                <w:rStyle w:val="145"/>
                <w:rFonts w:hint="eastAsia" w:ascii="宋体" w:hAnsi="宋体" w:eastAsia="宋体" w:cs="宋体"/>
                <w:color w:val="auto"/>
                <w:sz w:val="21"/>
                <w:szCs w:val="21"/>
                <w:highlight w:val="none"/>
              </w:rPr>
              <w:t>2000</w:t>
            </w:r>
            <w:r>
              <w:rPr>
                <w:rStyle w:val="144"/>
                <w:rFonts w:hint="eastAsia" w:ascii="宋体" w:hAnsi="宋体" w:eastAsia="宋体" w:cs="宋体"/>
                <w:color w:val="auto"/>
                <w:sz w:val="21"/>
                <w:szCs w:val="21"/>
                <w:highlight w:val="none"/>
              </w:rPr>
              <w:t>年国务院令第</w:t>
            </w:r>
            <w:r>
              <w:rPr>
                <w:rStyle w:val="145"/>
                <w:rFonts w:hint="eastAsia" w:ascii="宋体" w:hAnsi="宋体" w:eastAsia="宋体" w:cs="宋体"/>
                <w:color w:val="auto"/>
                <w:sz w:val="21"/>
                <w:szCs w:val="21"/>
                <w:highlight w:val="none"/>
              </w:rPr>
              <w:t>279</w:t>
            </w:r>
            <w:r>
              <w:rPr>
                <w:rStyle w:val="144"/>
                <w:rFonts w:hint="eastAsia" w:ascii="宋体" w:hAnsi="宋体" w:eastAsia="宋体" w:cs="宋体"/>
                <w:color w:val="auto"/>
                <w:sz w:val="21"/>
                <w:szCs w:val="21"/>
                <w:highlight w:val="none"/>
              </w:rPr>
              <w:t>号；</w:t>
            </w:r>
            <w:r>
              <w:rPr>
                <w:rStyle w:val="145"/>
                <w:rFonts w:hint="eastAsia" w:ascii="宋体" w:hAnsi="宋体" w:eastAsia="宋体" w:cs="宋体"/>
                <w:color w:val="auto"/>
                <w:sz w:val="21"/>
                <w:szCs w:val="21"/>
                <w:highlight w:val="none"/>
              </w:rPr>
              <w:t>2019</w:t>
            </w:r>
            <w:r>
              <w:rPr>
                <w:rStyle w:val="144"/>
                <w:rFonts w:hint="eastAsia" w:ascii="宋体" w:hAnsi="宋体" w:eastAsia="宋体" w:cs="宋体"/>
                <w:color w:val="auto"/>
                <w:sz w:val="21"/>
                <w:szCs w:val="21"/>
                <w:highlight w:val="none"/>
              </w:rPr>
              <w:t>年第二次修订）</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第三十九条 建设工程实行质量保修制度。建设工程承包单位在向建设单位提交工程竣工验收报告时，应当向建设单位出具质量保修书。质量保修书中应当明确建设工程的保修范围、保修期限和保修责任等。</w:t>
            </w:r>
          </w:p>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第四十一条 建设工程在保修范围和保修期限内发生质量问题的，施工单位应当履行保修义务，并对造成的损失承担赔偿责任。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widowControl/>
              <w:kinsoku/>
              <w:wordWrap/>
              <w:overflowPunct/>
              <w:topLinePunct w:val="0"/>
              <w:autoSpaceDE/>
              <w:autoSpaceDN/>
              <w:bidi w:val="0"/>
              <w:spacing w:line="260" w:lineRule="atLeast"/>
              <w:ind w:left="0"/>
              <w:textAlignment w:val="center"/>
              <w:rPr>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《建筑与市政工程施工质量控制通用规范》GB55032-2022</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textAlignment w:val="center"/>
              <w:rPr>
                <w:rStyle w:val="144"/>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5.0.2 建设单位应建立质量回访和质量投诉处理机制。施工单位应履行保修义务，并应与建设单位签署施工质量保修书，施工质量保修书中应明确保修范围、保修期限和保修责任。</w:t>
            </w:r>
          </w:p>
          <w:p>
            <w:pPr>
              <w:keepNext w:val="0"/>
              <w:keepLines w:val="0"/>
              <w:pageBreakBefore w:val="0"/>
              <w:widowControl/>
              <w:kinsoku/>
              <w:wordWrap/>
              <w:overflowPunct/>
              <w:topLinePunct w:val="0"/>
              <w:autoSpaceDE/>
              <w:autoSpaceDN/>
              <w:bidi w:val="0"/>
              <w:spacing w:line="260" w:lineRule="atLeast"/>
              <w:ind w:left="0"/>
              <w:textAlignment w:val="center"/>
              <w:rPr>
                <w:rStyle w:val="144"/>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5.0.3 当工程在保修期内出现一般质量缺陷时，建设单位应向施工单位发出保修通知，施工单位应进行现场勘察、制定保修方案，并及时进行修复。</w:t>
            </w:r>
          </w:p>
          <w:p>
            <w:pPr>
              <w:keepNext w:val="0"/>
              <w:keepLines w:val="0"/>
              <w:pageBreakBefore w:val="0"/>
              <w:widowControl/>
              <w:kinsoku/>
              <w:wordWrap/>
              <w:overflowPunct/>
              <w:topLinePunct w:val="0"/>
              <w:autoSpaceDE/>
              <w:autoSpaceDN/>
              <w:bidi w:val="0"/>
              <w:spacing w:line="260" w:lineRule="atLeast"/>
              <w:ind w:left="0"/>
              <w:textAlignment w:val="center"/>
              <w:rPr>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5.0.4 当工程在保修期内出现涉及结构安全或影响使用功能的严重质量缺陷时，应由原设计单位或相应资质等级的设计单位提出保修设计方案，施工单位实施保修。保修完成后，工程应符合原设计要求。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pacing w:val="-6"/>
                <w:sz w:val="21"/>
                <w:szCs w:val="21"/>
                <w:highlight w:val="none"/>
              </w:rPr>
            </w:pPr>
            <w:r>
              <w:rPr>
                <w:rFonts w:hint="eastAsia" w:ascii="宋体" w:hAnsi="宋体" w:eastAsia="宋体" w:cs="宋体"/>
                <w:b/>
                <w:bCs/>
                <w:color w:val="auto"/>
                <w:spacing w:val="-6"/>
                <w:sz w:val="21"/>
                <w:szCs w:val="21"/>
                <w:highlight w:val="none"/>
              </w:rPr>
              <w:t>2.2.4</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b/>
                <w:bCs/>
                <w:color w:val="auto"/>
                <w:spacing w:val="-6"/>
                <w:sz w:val="21"/>
                <w:szCs w:val="21"/>
                <w:highlight w:val="none"/>
              </w:rPr>
              <w:t>监理单位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2.2.4.1</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总监理工程师资格应符合要求，并到岗履职。</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Style w:val="144"/>
                <w:rFonts w:hint="eastAsia" w:ascii="宋体" w:hAnsi="宋体" w:eastAsia="宋体" w:cs="宋体"/>
                <w:color w:val="auto"/>
                <w:sz w:val="21"/>
                <w:szCs w:val="21"/>
                <w:highlight w:val="none"/>
              </w:rPr>
              <w:t>《建设工程质量管理条例》（</w:t>
            </w:r>
            <w:r>
              <w:rPr>
                <w:rStyle w:val="145"/>
                <w:rFonts w:hint="eastAsia" w:ascii="宋体" w:hAnsi="宋体" w:eastAsia="宋体" w:cs="宋体"/>
                <w:color w:val="auto"/>
                <w:sz w:val="21"/>
                <w:szCs w:val="21"/>
                <w:highlight w:val="none"/>
              </w:rPr>
              <w:t>2000</w:t>
            </w:r>
            <w:r>
              <w:rPr>
                <w:rStyle w:val="144"/>
                <w:rFonts w:hint="eastAsia" w:ascii="宋体" w:hAnsi="宋体" w:eastAsia="宋体" w:cs="宋体"/>
                <w:color w:val="auto"/>
                <w:sz w:val="21"/>
                <w:szCs w:val="21"/>
                <w:highlight w:val="none"/>
              </w:rPr>
              <w:t>年国务院令第</w:t>
            </w:r>
            <w:r>
              <w:rPr>
                <w:rStyle w:val="145"/>
                <w:rFonts w:hint="eastAsia" w:ascii="宋体" w:hAnsi="宋体" w:eastAsia="宋体" w:cs="宋体"/>
                <w:color w:val="auto"/>
                <w:sz w:val="21"/>
                <w:szCs w:val="21"/>
                <w:highlight w:val="none"/>
              </w:rPr>
              <w:t>279</w:t>
            </w:r>
            <w:r>
              <w:rPr>
                <w:rStyle w:val="144"/>
                <w:rFonts w:hint="eastAsia" w:ascii="宋体" w:hAnsi="宋体" w:eastAsia="宋体" w:cs="宋体"/>
                <w:color w:val="auto"/>
                <w:sz w:val="21"/>
                <w:szCs w:val="21"/>
                <w:highlight w:val="none"/>
              </w:rPr>
              <w:t>号；</w:t>
            </w:r>
            <w:r>
              <w:rPr>
                <w:rStyle w:val="145"/>
                <w:rFonts w:hint="eastAsia" w:ascii="宋体" w:hAnsi="宋体" w:eastAsia="宋体" w:cs="宋体"/>
                <w:color w:val="auto"/>
                <w:sz w:val="21"/>
                <w:szCs w:val="21"/>
                <w:highlight w:val="none"/>
              </w:rPr>
              <w:t>2019</w:t>
            </w:r>
            <w:r>
              <w:rPr>
                <w:rStyle w:val="144"/>
                <w:rFonts w:hint="eastAsia" w:ascii="宋体" w:hAnsi="宋体" w:eastAsia="宋体" w:cs="宋体"/>
                <w:color w:val="auto"/>
                <w:sz w:val="21"/>
                <w:szCs w:val="21"/>
                <w:highlight w:val="none"/>
              </w:rPr>
              <w:t>年第二次修订）</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第三十七条第一款 工程监理单位应当选派具备相应资格的总监理工程师和监理工程师进驻施工现场。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2.2.4.2</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配备足够的具备资格的监理人员，并到岗履职。</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《江苏省建设工程项目监理机构主要管理人员配备标准》（〔2017〕第35号）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一、监理单位要严格按照投标承诺或合同约定的监理人员配备数量组建项目监理机构，并建立日常自查自纠制度，确保人员在岗履职。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2.2.4.3</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编制并实施监理规划、监理实施细则。</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《建设工程监理规范》</w:t>
            </w:r>
            <w:r>
              <w:rPr>
                <w:rFonts w:hint="eastAsia" w:ascii="宋体" w:hAnsi="宋体" w:eastAsia="宋体" w:cs="宋体"/>
                <w:color w:val="auto"/>
                <w:spacing w:val="-6"/>
                <w:sz w:val="21"/>
                <w:szCs w:val="21"/>
                <w:highlight w:val="none"/>
                <w:lang w:eastAsia="zh-CN"/>
              </w:rPr>
              <w:t>GB/T</w:t>
            </w:r>
            <w:r>
              <w:rPr>
                <w:rFonts w:hint="eastAsia" w:ascii="宋体" w:hAnsi="宋体" w:eastAsia="宋体" w:cs="宋体"/>
                <w:color w:val="auto"/>
                <w:spacing w:val="-6"/>
                <w:sz w:val="21"/>
                <w:szCs w:val="21"/>
                <w:highlight w:val="none"/>
              </w:rPr>
              <w:t>50319-2013</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4.1.1 监理规划应结合工程实际情况，明确项目监理机构的工作目标，确定具体的监理工作制度、内容、程序、方法和措施。</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4.2.1 监理规划可在建设工程监理合同及收到工程建设文件后由总监理工程师组织编制，并应在召开第一次工地会议前报送建设单位。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4.2.2 监理规划编审应遵循下列程序：</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1 总监理工程师组织专业监理工程师编制。</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 总监理工程师签字后由工程监理单位技术负责人审批。</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4.2.3 监理规划应包括下列主要内容：</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1 工程概况。</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 监理工作的范围、内容、目标。</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3 监理工作依据。</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4 监理组织形式、人员配备及进退场计划、监理人员岗位职责。</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5 监理工作制度。</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6 工程质量控制。</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7 工程造价控制。</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8 工程进度控制。</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9 安全生产管理的监理工作。</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10 合同与信息管理。</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11 组织协调。</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12 监理工作设施。</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 xml:space="preserve">4.3.1 对专业性较强、危险性较大的分部分项工程，项目监理机构应编制监理实施细则。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 xml:space="preserve">4.3.2 监理实施细则应在相应工程施工开始前由专业监理工程师编制，并应报总监理工程师审批。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4.3.3 监理实施细则的编制应依据下列资料：</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 xml:space="preserve">1 监理规划。 </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 xml:space="preserve">2 工程建设标准、工程设计文件。 </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 xml:space="preserve">3 施工组织设计、（专项）施工方案。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4.3.4 监理实施细则应包括下列主要内容：</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 xml:space="preserve">1专业工程特点。 </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 xml:space="preserve">2 监理工作流程。 </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 xml:space="preserve">3 监理工作要点。 </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 xml:space="preserve">4 监理工作方法及措施。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4.3.5 在实施建设工程监理过程中，监理实施细则可根据实际情况进行补充、修改，并应经总监理工程师批准后实施。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2.2.4.4</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对施工组织设计、施工方案进行审查。</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《建设工程监理规范》</w:t>
            </w:r>
            <w:r>
              <w:rPr>
                <w:rFonts w:hint="eastAsia" w:ascii="宋体" w:hAnsi="宋体" w:eastAsia="宋体" w:cs="宋体"/>
                <w:color w:val="auto"/>
                <w:spacing w:val="-6"/>
                <w:sz w:val="21"/>
                <w:szCs w:val="21"/>
                <w:highlight w:val="none"/>
                <w:lang w:eastAsia="zh-CN"/>
              </w:rPr>
              <w:t>GB/T</w:t>
            </w:r>
            <w:r>
              <w:rPr>
                <w:rFonts w:hint="eastAsia" w:ascii="宋体" w:hAnsi="宋体" w:eastAsia="宋体" w:cs="宋体"/>
                <w:color w:val="auto"/>
                <w:spacing w:val="-6"/>
                <w:sz w:val="21"/>
                <w:szCs w:val="21"/>
                <w:highlight w:val="none"/>
              </w:rPr>
              <w:t>50319-2013</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5.1.6 项目监理机构应审查施工单位报审的施工组织设计，符合要求时，应由总监理工程师签认后报建设单位。项目监理机构应要求施工单位按</w:t>
            </w:r>
            <w:r>
              <w:rPr>
                <w:rFonts w:hint="eastAsia" w:ascii="宋体" w:hAnsi="宋体" w:eastAsia="宋体" w:cs="宋体"/>
                <w:color w:val="auto"/>
                <w:spacing w:val="-6"/>
                <w:sz w:val="21"/>
                <w:szCs w:val="21"/>
                <w:highlight w:val="none"/>
                <w:lang w:eastAsia="zh-CN"/>
              </w:rPr>
              <w:t>已批准的</w:t>
            </w:r>
            <w:r>
              <w:rPr>
                <w:rFonts w:hint="eastAsia" w:ascii="宋体" w:hAnsi="宋体" w:eastAsia="宋体" w:cs="宋体"/>
                <w:color w:val="auto"/>
                <w:spacing w:val="-6"/>
                <w:sz w:val="21"/>
                <w:szCs w:val="21"/>
                <w:highlight w:val="none"/>
              </w:rPr>
              <w:t>施工组织设计组织施工。施工组织设计需要调整时，项目监理机构应按程序重新审查。</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5.2.2 总监理工程师应组织专业监理工程师审查施工单位报审的施工方案，并应符合要求后予以签认。</w:t>
            </w:r>
            <w:r>
              <w:rPr>
                <w:rFonts w:hint="eastAsia" w:ascii="宋体" w:hAnsi="宋体" w:eastAsia="宋体" w:cs="宋体"/>
                <w:color w:val="auto"/>
                <w:spacing w:val="-6"/>
                <w:sz w:val="21"/>
                <w:szCs w:val="21"/>
                <w:highlight w:val="none"/>
              </w:rPr>
              <w:br w:type="textWrapping"/>
            </w:r>
            <w:r>
              <w:rPr>
                <w:rFonts w:hint="eastAsia" w:ascii="宋体" w:hAnsi="宋体" w:eastAsia="宋体" w:cs="宋体"/>
                <w:color w:val="auto"/>
                <w:spacing w:val="-6"/>
                <w:sz w:val="21"/>
                <w:szCs w:val="21"/>
                <w:highlight w:val="none"/>
              </w:rPr>
              <w:t>5.5.3 项目监理机构应审查施工单位报审的专项施工方案，符合要求的，应由总监理工程师签认后报建设单位。超过一定规模的危险性较大的分部分项工程的专项施工方案，应检查施工单位组织专家进行论证、审查的情况，以及是否附具安全验算结果。项目监理机构应要求施工单位按已批准的专项施工方案组织施工。专项施工方案需要调整时，施工单位应按程序重新提交项目监理机构审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2.2.4.5</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对建筑材料、建筑构配件和设备投入使用或安装前进行审查。</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Style w:val="144"/>
                <w:rFonts w:hint="eastAsia" w:ascii="宋体" w:hAnsi="宋体" w:eastAsia="宋体" w:cs="宋体"/>
                <w:color w:val="auto"/>
                <w:sz w:val="21"/>
                <w:szCs w:val="21"/>
                <w:highlight w:val="none"/>
              </w:rPr>
              <w:t>《建设工程质量管理条例》（</w:t>
            </w:r>
            <w:r>
              <w:rPr>
                <w:rStyle w:val="145"/>
                <w:rFonts w:hint="eastAsia" w:ascii="宋体" w:hAnsi="宋体" w:eastAsia="宋体" w:cs="宋体"/>
                <w:color w:val="auto"/>
                <w:sz w:val="21"/>
                <w:szCs w:val="21"/>
                <w:highlight w:val="none"/>
              </w:rPr>
              <w:t>2000</w:t>
            </w:r>
            <w:r>
              <w:rPr>
                <w:rStyle w:val="144"/>
                <w:rFonts w:hint="eastAsia" w:ascii="宋体" w:hAnsi="宋体" w:eastAsia="宋体" w:cs="宋体"/>
                <w:color w:val="auto"/>
                <w:sz w:val="21"/>
                <w:szCs w:val="21"/>
                <w:highlight w:val="none"/>
              </w:rPr>
              <w:t>年国务院令第</w:t>
            </w:r>
            <w:r>
              <w:rPr>
                <w:rStyle w:val="145"/>
                <w:rFonts w:hint="eastAsia" w:ascii="宋体" w:hAnsi="宋体" w:eastAsia="宋体" w:cs="宋体"/>
                <w:color w:val="auto"/>
                <w:sz w:val="21"/>
                <w:szCs w:val="21"/>
                <w:highlight w:val="none"/>
              </w:rPr>
              <w:t>279</w:t>
            </w:r>
            <w:r>
              <w:rPr>
                <w:rStyle w:val="144"/>
                <w:rFonts w:hint="eastAsia" w:ascii="宋体" w:hAnsi="宋体" w:eastAsia="宋体" w:cs="宋体"/>
                <w:color w:val="auto"/>
                <w:sz w:val="21"/>
                <w:szCs w:val="21"/>
                <w:highlight w:val="none"/>
              </w:rPr>
              <w:t>号；</w:t>
            </w:r>
            <w:r>
              <w:rPr>
                <w:rStyle w:val="145"/>
                <w:rFonts w:hint="eastAsia" w:ascii="宋体" w:hAnsi="宋体" w:eastAsia="宋体" w:cs="宋体"/>
                <w:color w:val="auto"/>
                <w:sz w:val="21"/>
                <w:szCs w:val="21"/>
                <w:highlight w:val="none"/>
              </w:rPr>
              <w:t>2019</w:t>
            </w:r>
            <w:r>
              <w:rPr>
                <w:rStyle w:val="144"/>
                <w:rFonts w:hint="eastAsia" w:ascii="宋体" w:hAnsi="宋体" w:eastAsia="宋体" w:cs="宋体"/>
                <w:color w:val="auto"/>
                <w:sz w:val="21"/>
                <w:szCs w:val="21"/>
                <w:highlight w:val="none"/>
              </w:rPr>
              <w:t>年第二次修订）</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第三十七条第二款（部分）</w:t>
            </w:r>
            <w:r>
              <w:rPr>
                <w:rFonts w:hint="eastAsia" w:ascii="宋体" w:hAnsi="宋体" w:eastAsia="宋体" w:cs="宋体"/>
                <w:color w:val="auto"/>
                <w:spacing w:val="-6"/>
                <w:sz w:val="21"/>
                <w:szCs w:val="21"/>
                <w:highlight w:val="none"/>
                <w:lang w:val="en-US" w:eastAsia="zh-CN"/>
              </w:rPr>
              <w:t xml:space="preserve"> </w:t>
            </w:r>
            <w:r>
              <w:rPr>
                <w:rFonts w:hint="eastAsia" w:ascii="宋体" w:hAnsi="宋体" w:eastAsia="宋体" w:cs="宋体"/>
                <w:color w:val="auto"/>
                <w:spacing w:val="-6"/>
                <w:sz w:val="21"/>
                <w:szCs w:val="21"/>
                <w:highlight w:val="none"/>
              </w:rPr>
              <w:t>未经监理工程师签字，建筑材料、建筑构配件和设备不得在工程上使用或者安装，施工单位不得进行下一道工序的施工。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2.2.4.6</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对分包单位的资质进行审核。</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《建设工程监理规范》</w:t>
            </w:r>
            <w:r>
              <w:rPr>
                <w:rFonts w:hint="eastAsia" w:ascii="宋体" w:hAnsi="宋体" w:eastAsia="宋体" w:cs="宋体"/>
                <w:color w:val="auto"/>
                <w:spacing w:val="-6"/>
                <w:sz w:val="21"/>
                <w:szCs w:val="21"/>
                <w:highlight w:val="none"/>
                <w:lang w:eastAsia="zh-CN"/>
              </w:rPr>
              <w:t>GB/T</w:t>
            </w:r>
            <w:r>
              <w:rPr>
                <w:rFonts w:hint="eastAsia" w:ascii="宋体" w:hAnsi="宋体" w:eastAsia="宋体" w:cs="宋体"/>
                <w:color w:val="auto"/>
                <w:spacing w:val="-6"/>
                <w:sz w:val="21"/>
                <w:szCs w:val="21"/>
                <w:highlight w:val="none"/>
              </w:rPr>
              <w:t>50319-2013</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5.1.10 分包工程开工前，项目监理机构应审核施工单位报送的分包单位资格报审表，专业监理工程师提出审查意见后，应由总监理工程师审核签认。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2.2.4.7</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对施工质量进行巡查，做好巡查记录。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《建设工程监理规范》</w:t>
            </w:r>
            <w:r>
              <w:rPr>
                <w:rFonts w:hint="eastAsia" w:ascii="宋体" w:hAnsi="宋体" w:eastAsia="宋体" w:cs="宋体"/>
                <w:color w:val="auto"/>
                <w:spacing w:val="-6"/>
                <w:sz w:val="21"/>
                <w:szCs w:val="21"/>
                <w:highlight w:val="none"/>
                <w:lang w:eastAsia="zh-CN"/>
              </w:rPr>
              <w:t>GB/T</w:t>
            </w:r>
            <w:r>
              <w:rPr>
                <w:rFonts w:hint="eastAsia" w:ascii="宋体" w:hAnsi="宋体" w:eastAsia="宋体" w:cs="宋体"/>
                <w:color w:val="auto"/>
                <w:spacing w:val="-6"/>
                <w:sz w:val="21"/>
                <w:szCs w:val="21"/>
                <w:highlight w:val="none"/>
              </w:rPr>
              <w:t>50319-2013</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5.2.12 项目监理机构应安排监理人员对工程施工质量进行巡视。巡视应包括下列主要内容：</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1 施工单位是否按工程设计文件、工程建设标准和批准的施工组织设计、（专项）施工方案施工。</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 使用的工程材料、构配件和设备是否合格。</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3 施工现场管理人员，特别是施工质量管理人员是否到位。</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4 特种作业人员是否持证上岗。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2.2.4.8</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对施工质量进行平行检验，做好平行检验记录。</w:t>
            </w:r>
          </w:p>
        </w:tc>
        <w:tc>
          <w:tcPr>
            <w:tcW w:w="4027"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《建筑与市政工程施工质量控制通用规范》GB55032-2022</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3.3.3 监理人员应对工程施工质量进行巡视、平行检验，对关键部位、关键工序进行旁站，并应及时记录检查情况。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《建设工程监理规范》</w:t>
            </w:r>
            <w:r>
              <w:rPr>
                <w:rFonts w:hint="eastAsia" w:ascii="宋体" w:hAnsi="宋体" w:eastAsia="宋体" w:cs="宋体"/>
                <w:color w:val="auto"/>
                <w:spacing w:val="-6"/>
                <w:sz w:val="21"/>
                <w:szCs w:val="21"/>
                <w:highlight w:val="none"/>
                <w:lang w:eastAsia="zh-CN"/>
              </w:rPr>
              <w:t>GB/T</w:t>
            </w:r>
            <w:r>
              <w:rPr>
                <w:rFonts w:hint="eastAsia" w:ascii="宋体" w:hAnsi="宋体" w:eastAsia="宋体" w:cs="宋体"/>
                <w:color w:val="auto"/>
                <w:spacing w:val="-6"/>
                <w:sz w:val="21"/>
                <w:szCs w:val="21"/>
                <w:highlight w:val="none"/>
              </w:rPr>
              <w:t>50319-2013</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5.2.9 项目监理机构应审查施工单位报送的用于工程的材料、构配件、设备的质量证明文件，并应按规定、建设工程监理合同约定，对用于工程的材料进行见证取样，平行检验。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2.2.4.9</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对隐蔽工程进行验收；对检验批工程进行验收；对分项、分部（子分部）工程按规定进行质量验收；按规定组织单位工程竣工预验收；按规定参加建设单位组织的竣工验收。</w:t>
            </w:r>
          </w:p>
        </w:tc>
        <w:tc>
          <w:tcPr>
            <w:tcW w:w="4027"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《建筑与市政工程施工质量控制通用规范》GB55032-2022</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Style w:val="145"/>
                <w:rFonts w:hint="eastAsia" w:ascii="宋体" w:hAnsi="宋体" w:eastAsia="宋体" w:cs="宋体"/>
                <w:color w:val="auto"/>
                <w:sz w:val="21"/>
                <w:szCs w:val="21"/>
                <w:highlight w:val="none"/>
              </w:rPr>
            </w:pPr>
            <w:r>
              <w:rPr>
                <w:rStyle w:val="145"/>
                <w:rFonts w:hint="eastAsia" w:ascii="宋体" w:hAnsi="宋体" w:eastAsia="宋体" w:cs="宋体"/>
                <w:color w:val="auto"/>
                <w:sz w:val="21"/>
                <w:szCs w:val="21"/>
                <w:highlight w:val="none"/>
              </w:rPr>
              <w:t>4.3.1 检验批应由专业监理工程师组织施工单位项目专业质量检查员、专业工长等进行验收。</w:t>
            </w:r>
          </w:p>
          <w:p>
            <w:pPr>
              <w:keepNext w:val="0"/>
              <w:keepLines w:val="0"/>
              <w:pageBreakBefore w:val="0"/>
              <w:widowControl/>
              <w:kinsoku/>
              <w:wordWrap/>
              <w:overflowPunct/>
              <w:topLinePunct w:val="0"/>
              <w:autoSpaceDE/>
              <w:autoSpaceDN/>
              <w:bidi w:val="0"/>
              <w:spacing w:line="260" w:lineRule="atLeast"/>
              <w:ind w:left="0"/>
              <w:jc w:val="left"/>
              <w:textAlignment w:val="center"/>
              <w:rPr>
                <w:rStyle w:val="145"/>
                <w:rFonts w:hint="eastAsia" w:ascii="宋体" w:hAnsi="宋体" w:eastAsia="宋体" w:cs="宋体"/>
                <w:color w:val="auto"/>
                <w:sz w:val="21"/>
                <w:szCs w:val="21"/>
                <w:highlight w:val="none"/>
              </w:rPr>
            </w:pPr>
            <w:r>
              <w:rPr>
                <w:rStyle w:val="145"/>
                <w:rFonts w:hint="eastAsia" w:ascii="宋体" w:hAnsi="宋体" w:eastAsia="宋体" w:cs="宋体"/>
                <w:color w:val="auto"/>
                <w:sz w:val="21"/>
                <w:szCs w:val="21"/>
                <w:highlight w:val="none"/>
              </w:rPr>
              <w:t>4.3.2 分项工程应专业监理工程师组织施工单位项目专业技术负责人等进行验收。</w:t>
            </w:r>
          </w:p>
          <w:p>
            <w:pPr>
              <w:keepNext w:val="0"/>
              <w:keepLines w:val="0"/>
              <w:pageBreakBefore w:val="0"/>
              <w:widowControl/>
              <w:kinsoku/>
              <w:wordWrap/>
              <w:overflowPunct/>
              <w:topLinePunct w:val="0"/>
              <w:autoSpaceDE/>
              <w:autoSpaceDN/>
              <w:bidi w:val="0"/>
              <w:spacing w:line="260" w:lineRule="atLeast"/>
              <w:ind w:left="0"/>
              <w:jc w:val="left"/>
              <w:textAlignment w:val="center"/>
              <w:rPr>
                <w:rStyle w:val="145"/>
                <w:rFonts w:hint="eastAsia" w:ascii="宋体" w:hAnsi="宋体" w:eastAsia="宋体" w:cs="宋体"/>
                <w:color w:val="auto"/>
                <w:sz w:val="21"/>
                <w:szCs w:val="21"/>
                <w:highlight w:val="none"/>
              </w:rPr>
            </w:pPr>
            <w:r>
              <w:rPr>
                <w:rStyle w:val="145"/>
                <w:rFonts w:hint="eastAsia" w:ascii="宋体" w:hAnsi="宋体" w:eastAsia="宋体" w:cs="宋体"/>
                <w:color w:val="auto"/>
                <w:sz w:val="21"/>
                <w:szCs w:val="21"/>
                <w:highlight w:val="none"/>
              </w:rPr>
              <w:t>4.3.3 分部工程应由总监理工程师组织施工单位项目负责人和项目技术负责人等进行验收。勘察、设计单位项目负责人和施工单位技术、质量部门负责人应参加地基与基础分部工程的验收，设计单位项目负责人和施工单位技术、质量部门负责人应参加主体结构、节能分部工程的验收。</w:t>
            </w:r>
          </w:p>
          <w:p>
            <w:pPr>
              <w:keepNext w:val="0"/>
              <w:keepLines w:val="0"/>
              <w:pageBreakBefore w:val="0"/>
              <w:widowControl/>
              <w:kinsoku/>
              <w:wordWrap/>
              <w:overflowPunct/>
              <w:topLinePunct w:val="0"/>
              <w:autoSpaceDE/>
              <w:autoSpaceDN/>
              <w:bidi w:val="0"/>
              <w:spacing w:line="260" w:lineRule="atLeast"/>
              <w:ind w:left="0"/>
              <w:jc w:val="left"/>
              <w:textAlignment w:val="center"/>
              <w:rPr>
                <w:rStyle w:val="145"/>
                <w:rFonts w:hint="eastAsia" w:ascii="宋体" w:hAnsi="宋体" w:eastAsia="宋体" w:cs="宋体"/>
                <w:color w:val="auto"/>
                <w:sz w:val="21"/>
                <w:szCs w:val="21"/>
                <w:highlight w:val="none"/>
              </w:rPr>
            </w:pPr>
            <w:r>
              <w:rPr>
                <w:rStyle w:val="145"/>
                <w:rFonts w:hint="eastAsia" w:ascii="宋体" w:hAnsi="宋体" w:eastAsia="宋体" w:cs="宋体"/>
                <w:color w:val="auto"/>
                <w:sz w:val="21"/>
                <w:szCs w:val="21"/>
                <w:highlight w:val="none"/>
              </w:rPr>
              <w:t>4.3.4 单位工程完工后，各相关单位应按下列要求进行工程竣工验收：</w:t>
            </w:r>
          </w:p>
          <w:p>
            <w:pPr>
              <w:keepNext w:val="0"/>
              <w:keepLines w:val="0"/>
              <w:pageBreakBefore w:val="0"/>
              <w:widowControl/>
              <w:kinsoku/>
              <w:wordWrap/>
              <w:overflowPunct/>
              <w:topLinePunct w:val="0"/>
              <w:autoSpaceDE/>
              <w:autoSpaceDN/>
              <w:bidi w:val="0"/>
              <w:spacing w:line="260" w:lineRule="atLeast"/>
              <w:ind w:left="0" w:firstLine="210" w:firstLineChars="100"/>
              <w:jc w:val="left"/>
              <w:textAlignment w:val="center"/>
              <w:rPr>
                <w:rStyle w:val="145"/>
                <w:rFonts w:hint="eastAsia" w:ascii="宋体" w:hAnsi="宋体" w:eastAsia="宋体" w:cs="宋体"/>
                <w:color w:val="auto"/>
                <w:sz w:val="21"/>
                <w:szCs w:val="21"/>
                <w:highlight w:val="none"/>
              </w:rPr>
            </w:pPr>
            <w:r>
              <w:rPr>
                <w:rStyle w:val="145"/>
                <w:rFonts w:hint="eastAsia" w:ascii="宋体" w:hAnsi="宋体" w:eastAsia="宋体" w:cs="宋体"/>
                <w:color w:val="auto"/>
                <w:sz w:val="21"/>
                <w:szCs w:val="21"/>
                <w:highlight w:val="none"/>
              </w:rPr>
              <w:t>4 监理单位应在自检合格后组织工程竣工预验收，预验收合格后应编制工程质量评估报告，按规定程序</w:t>
            </w:r>
            <w:r>
              <w:rPr>
                <w:rStyle w:val="145"/>
                <w:rFonts w:hint="eastAsia" w:ascii="宋体" w:hAnsi="宋体" w:eastAsia="宋体" w:cs="宋体"/>
                <w:color w:val="auto"/>
                <w:sz w:val="21"/>
                <w:szCs w:val="21"/>
                <w:highlight w:val="none"/>
                <w:lang w:eastAsia="zh-CN"/>
              </w:rPr>
              <w:t>审批</w:t>
            </w:r>
            <w:r>
              <w:rPr>
                <w:rStyle w:val="145"/>
                <w:rFonts w:hint="eastAsia" w:ascii="宋体" w:hAnsi="宋体" w:eastAsia="宋体" w:cs="宋体"/>
                <w:color w:val="auto"/>
                <w:sz w:val="21"/>
                <w:szCs w:val="21"/>
                <w:highlight w:val="none"/>
              </w:rPr>
              <w:t>后向建设单位提交；</w:t>
            </w:r>
          </w:p>
          <w:p>
            <w:pPr>
              <w:keepNext w:val="0"/>
              <w:keepLines w:val="0"/>
              <w:pageBreakBefore w:val="0"/>
              <w:widowControl/>
              <w:kinsoku/>
              <w:wordWrap/>
              <w:overflowPunct/>
              <w:topLinePunct w:val="0"/>
              <w:autoSpaceDE/>
              <w:autoSpaceDN/>
              <w:bidi w:val="0"/>
              <w:spacing w:line="260" w:lineRule="atLeast"/>
              <w:ind w:left="0" w:firstLine="210" w:firstLineChars="100"/>
              <w:jc w:val="left"/>
              <w:textAlignment w:val="center"/>
              <w:rPr>
                <w:rFonts w:hint="eastAsia" w:ascii="宋体" w:hAnsi="宋体" w:eastAsia="宋体" w:cs="宋体"/>
                <w:color w:val="auto"/>
                <w:sz w:val="21"/>
                <w:szCs w:val="21"/>
                <w:highlight w:val="none"/>
              </w:rPr>
            </w:pPr>
            <w:r>
              <w:rPr>
                <w:rStyle w:val="145"/>
                <w:rFonts w:hint="eastAsia" w:ascii="宋体" w:hAnsi="宋体" w:eastAsia="宋体" w:cs="宋体"/>
                <w:color w:val="auto"/>
                <w:sz w:val="21"/>
                <w:szCs w:val="21"/>
                <w:highlight w:val="none"/>
              </w:rPr>
              <w:t>5 建设单位应在竣工预验收合格后组织监理、施工、设计、勘察单位等相关单位项目负责人进行工程竣工验收。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《建设工程监理规范》</w:t>
            </w:r>
            <w:r>
              <w:rPr>
                <w:rFonts w:hint="eastAsia" w:ascii="宋体" w:hAnsi="宋体" w:eastAsia="宋体" w:cs="宋体"/>
                <w:color w:val="auto"/>
                <w:spacing w:val="-6"/>
                <w:sz w:val="21"/>
                <w:szCs w:val="21"/>
                <w:highlight w:val="none"/>
                <w:lang w:eastAsia="zh-CN"/>
              </w:rPr>
              <w:t>GB/T</w:t>
            </w:r>
            <w:r>
              <w:rPr>
                <w:rFonts w:hint="eastAsia" w:ascii="宋体" w:hAnsi="宋体" w:eastAsia="宋体" w:cs="宋体"/>
                <w:color w:val="auto"/>
                <w:spacing w:val="-6"/>
                <w:sz w:val="21"/>
                <w:szCs w:val="21"/>
                <w:highlight w:val="none"/>
              </w:rPr>
              <w:t>50319-2013</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5.2.14 项目监理机构应对施工单位报验的隐蔽工程、检验批、分项工程和分部工程进行验收，对验收合格的应给予签认，对验收不合格的应拒绝签认，同时应要求施工单位在指定的时间内整改并重新报验。</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对已同意覆盖的工程隐蔽部位质量有疑问的，或发现施工单位私自覆盖工程隐蔽部位的，项目监理机构应要求施工单位对该隐蔽部位进行钻孔探测、剥离或其他方法进行重新检验。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5.2.18 项目监理机构应审查施工单位提交的单位工程竣工验收报审表及竣工资料，组织工程竣工预验收。存在问题的，应要求施工单位及时整改；合格的，总监理工程师应签认单位工程竣工验收报审表。</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5.2.19 工程竣工预验收合格后，项目监理机构应编写工程质量评估报告，并应经总监理工程师和工程监理单位技术负责人审核签字后报建设单位。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5.2.20 项目监理机构应参加由建设单位组织的竣工验收，对验收中提出的整改问题，应督促施工单位及时整改。工程质量符合要求的，总监理工程师应在工程竣工验收报告中签署意见。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2.2.4.10</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签发质量问题通知单，复查质量问题整改结果。</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《建设工程监理规范》</w:t>
            </w:r>
            <w:r>
              <w:rPr>
                <w:rFonts w:hint="eastAsia" w:ascii="宋体" w:hAnsi="宋体" w:eastAsia="宋体" w:cs="宋体"/>
                <w:color w:val="auto"/>
                <w:spacing w:val="-6"/>
                <w:sz w:val="21"/>
                <w:szCs w:val="21"/>
                <w:highlight w:val="none"/>
                <w:lang w:eastAsia="zh-CN"/>
              </w:rPr>
              <w:t>GB/T</w:t>
            </w:r>
            <w:r>
              <w:rPr>
                <w:rFonts w:hint="eastAsia" w:ascii="宋体" w:hAnsi="宋体" w:eastAsia="宋体" w:cs="宋体"/>
                <w:color w:val="auto"/>
                <w:spacing w:val="-6"/>
                <w:sz w:val="21"/>
                <w:szCs w:val="21"/>
                <w:highlight w:val="none"/>
              </w:rPr>
              <w:t>50319-2013</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5.2.15 项目监理机构发现施工存在质量问题的，或施工单位采用不适当的施工工艺，或施工不当，造成工程质量不合格的，应及时签发监理通知单，要求施工单位整改。整改完毕后，项目监理机构应根据施工单位报送的监理通知回复对整改情况进行复查，提出复查意见。</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监理通知单应按本规范表A.0.3的要求填写，监理通知回复单应按本规范表B.0.9的要求填写。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pacing w:val="-6"/>
                <w:sz w:val="21"/>
                <w:szCs w:val="21"/>
                <w:highlight w:val="none"/>
              </w:rPr>
            </w:pPr>
            <w:r>
              <w:rPr>
                <w:rFonts w:hint="eastAsia" w:ascii="宋体" w:hAnsi="宋体" w:eastAsia="宋体" w:cs="宋体"/>
                <w:b/>
                <w:bCs/>
                <w:color w:val="auto"/>
                <w:spacing w:val="-6"/>
                <w:sz w:val="21"/>
                <w:szCs w:val="21"/>
                <w:highlight w:val="none"/>
              </w:rPr>
              <w:t>2.2.5</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pacing w:val="-6"/>
                <w:sz w:val="21"/>
                <w:szCs w:val="21"/>
                <w:highlight w:val="none"/>
              </w:rPr>
            </w:pPr>
            <w:r>
              <w:rPr>
                <w:rFonts w:hint="eastAsia" w:ascii="宋体" w:hAnsi="宋体" w:eastAsia="宋体" w:cs="宋体"/>
                <w:b/>
                <w:bCs/>
                <w:color w:val="auto"/>
                <w:spacing w:val="-6"/>
                <w:sz w:val="21"/>
                <w:szCs w:val="21"/>
                <w:highlight w:val="none"/>
              </w:rPr>
              <w:t>检测单位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9"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2.2.5.1</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检测单位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不得转包检测业务。</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《建设工程质量检测管理办法》（建设部令第141号）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第十七条 检测机构不得转包检测业务。检测机构跨省、自治区、直辖市承担检测业务的，应当向工程所在地的省、自治区、直辖市人民政府建设主管部门备案。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《江苏省质量检测管理实施细则》</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苏建法〔2006〕97号</w:t>
            </w:r>
            <w:r>
              <w:rPr>
                <w:rFonts w:hint="eastAsia" w:ascii="宋体" w:hAnsi="宋体" w:eastAsia="宋体" w:cs="宋体"/>
                <w:color w:val="auto"/>
                <w:spacing w:val="-6"/>
                <w:sz w:val="21"/>
                <w:szCs w:val="21"/>
                <w:highlight w:val="none"/>
                <w:lang w:eastAsia="zh-CN"/>
              </w:rPr>
              <w:t>）</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第十二条 检测机构不得转包检测业务。</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省外检测机构在本省行政区域内从事工程质量检测业务的，应当向省建设厅备案。设区的市、县（市）建设行政主管部门应当以对其在当地的检测活动加强监督检查。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2.2.5.2</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检测单位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不得涂改、倒卖、出租、出借或者以其他形式非法转让资质证书。</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《建设工程质量检测管理办法》（建设部令第141号）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第十条 任何单位和个人不得涂改、倒卖、出租、出借或者以其他形式非法转让资质证书。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2.2.5.3</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检测单位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不得推荐或者监制建筑材料、构配件和设备。</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《建设工程质量检测管理办法》（建设部令第141号）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第十六条第二款 检测机构和检测人员不得推荐或者监制建筑材料、构配件和设备。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《江苏省质量检测管理实施细则》</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苏建法〔2006〕97号</w:t>
            </w:r>
            <w:r>
              <w:rPr>
                <w:rFonts w:hint="eastAsia" w:ascii="宋体" w:hAnsi="宋体" w:eastAsia="宋体" w:cs="宋体"/>
                <w:color w:val="auto"/>
                <w:spacing w:val="-6"/>
                <w:sz w:val="21"/>
                <w:szCs w:val="21"/>
                <w:highlight w:val="none"/>
                <w:lang w:eastAsia="zh-CN"/>
              </w:rPr>
              <w:t>）</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第十一条第三款 检测机构和人员不得推荐或者监制建筑材料、构配件和设备等。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2.2.5.4</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检测单位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不得与行政机关，法律、法规授权的具有管理公共事务职能的组织以及所检测工程项目相关的设计单位、施工单位</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监理单位有隶属关系或者其他利害关系。</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《建设工程质量检测管理办法》（建设部令第141号）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第十六条第三款 检测机构不得与行政机关，法律、法规授权的具有管理公共事务职能的组织以及所检测工程项目相关的设计单位、施工单位</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监理单位有隶属关系或者其他利害关系。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《江苏省质量检测管理实施细则》</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苏建法〔2006〕97号</w:t>
            </w:r>
            <w:r>
              <w:rPr>
                <w:rFonts w:hint="eastAsia" w:ascii="宋体" w:hAnsi="宋体" w:eastAsia="宋体" w:cs="宋体"/>
                <w:color w:val="auto"/>
                <w:spacing w:val="-6"/>
                <w:sz w:val="21"/>
                <w:szCs w:val="21"/>
                <w:highlight w:val="none"/>
                <w:lang w:eastAsia="zh-CN"/>
              </w:rPr>
              <w:t>）</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第十一条第四款 检测机构不得与行政机关、法律、法规授权的具有管理公共事务职能的组织以及所检测工程项目相关的设计单位、施工单位监理单位有隶属关系或者其他利害关系。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kern w:val="2"/>
                <w:sz w:val="21"/>
                <w:szCs w:val="21"/>
                <w:highlight w:val="none"/>
                <w:lang w:val="en-US" w:eastAsia="zh-CN" w:bidi="ar-SA"/>
              </w:rPr>
            </w:pPr>
            <w:r>
              <w:rPr>
                <w:rFonts w:hint="eastAsia" w:ascii="宋体" w:hAnsi="宋体" w:eastAsia="宋体" w:cs="宋体"/>
                <w:color w:val="auto"/>
                <w:spacing w:val="-6"/>
                <w:sz w:val="21"/>
                <w:szCs w:val="21"/>
                <w:highlight w:val="none"/>
              </w:rPr>
              <w:t>2.2.5</w:t>
            </w:r>
            <w:r>
              <w:rPr>
                <w:rFonts w:hint="eastAsia" w:ascii="宋体" w:hAnsi="宋体" w:eastAsia="宋体" w:cs="宋体"/>
                <w:color w:val="auto"/>
                <w:spacing w:val="-6"/>
                <w:sz w:val="21"/>
                <w:szCs w:val="21"/>
                <w:highlight w:val="none"/>
                <w:lang w:val="en-US" w:eastAsia="zh-CN"/>
              </w:rPr>
              <w:t>.5</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kern w:val="2"/>
                <w:sz w:val="21"/>
                <w:szCs w:val="21"/>
                <w:highlight w:val="none"/>
                <w:lang w:val="en-US" w:eastAsia="zh-CN" w:bidi="ar-SA"/>
              </w:rPr>
            </w:pPr>
            <w:r>
              <w:rPr>
                <w:rFonts w:hint="eastAsia" w:ascii="宋体" w:hAnsi="宋体" w:eastAsia="宋体" w:cs="宋体"/>
                <w:color w:val="auto"/>
                <w:spacing w:val="-6"/>
                <w:sz w:val="21"/>
                <w:szCs w:val="21"/>
                <w:highlight w:val="none"/>
              </w:rPr>
              <w:t>检测单位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kern w:val="2"/>
                <w:sz w:val="21"/>
                <w:szCs w:val="21"/>
                <w:highlight w:val="none"/>
                <w:lang w:val="en-US" w:eastAsia="zh-CN" w:bidi="ar-SA"/>
              </w:rPr>
            </w:pPr>
            <w:r>
              <w:rPr>
                <w:rFonts w:hint="eastAsia" w:ascii="宋体" w:hAnsi="宋体" w:eastAsia="宋体" w:cs="宋体"/>
                <w:color w:val="auto"/>
                <w:spacing w:val="-6"/>
                <w:sz w:val="21"/>
                <w:szCs w:val="21"/>
                <w:highlight w:val="none"/>
              </w:rPr>
              <w:t>应当在单位工程开工前编制质量检测方案。</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pacing w:val="-6"/>
                <w:sz w:val="21"/>
                <w:szCs w:val="21"/>
                <w:highlight w:val="none"/>
              </w:rPr>
              <w:t>《</w:t>
            </w:r>
            <w:r>
              <w:rPr>
                <w:rFonts w:hint="eastAsia" w:ascii="宋体" w:hAnsi="宋体" w:eastAsia="宋体" w:cs="宋体"/>
                <w:color w:val="auto"/>
                <w:sz w:val="21"/>
                <w:szCs w:val="21"/>
                <w:highlight w:val="none"/>
                <w:shd w:val="clear" w:color="auto" w:fill="FFFFFF"/>
              </w:rPr>
              <w:t>江苏省住房城乡建设厅关于实行建设工程质量检测综合报告制度的通知</w:t>
            </w:r>
            <w:r>
              <w:rPr>
                <w:rFonts w:hint="eastAsia" w:ascii="宋体" w:hAnsi="宋体" w:eastAsia="宋体" w:cs="宋体"/>
                <w:color w:val="auto"/>
                <w:spacing w:val="-6"/>
                <w:sz w:val="21"/>
                <w:szCs w:val="21"/>
                <w:highlight w:val="none"/>
              </w:rPr>
              <w:t>》（苏建规字〔2020〕8号）</w:t>
            </w:r>
          </w:p>
        </w:tc>
        <w:tc>
          <w:tcPr>
            <w:tcW w:w="11060" w:type="dxa"/>
            <w:vAlign w:val="center"/>
          </w:tcPr>
          <w:p>
            <w:pPr>
              <w:keepNext w:val="0"/>
              <w:keepLines w:val="0"/>
              <w:pageBreakBefore w:val="0"/>
              <w:widowControl/>
              <w:shd w:val="clear" w:color="auto" w:fill="FFFFFF"/>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（二）建设工程质量检测方案</w:t>
            </w:r>
          </w:p>
          <w:p>
            <w:pPr>
              <w:keepNext w:val="0"/>
              <w:keepLines w:val="0"/>
              <w:pageBreakBefore w:val="0"/>
              <w:widowControl/>
              <w:shd w:val="clear" w:color="auto" w:fill="FFFFFF"/>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建设工程质量检测方案</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rPr>
              <w:t>以下简称《检测方案》</w:t>
            </w:r>
            <w:r>
              <w:rPr>
                <w:rFonts w:hint="eastAsia" w:ascii="宋体" w:hAnsi="宋体" w:eastAsia="宋体" w:cs="宋体"/>
                <w:color w:val="auto"/>
                <w:kern w:val="0"/>
                <w:sz w:val="21"/>
                <w:szCs w:val="21"/>
                <w:highlight w:val="none"/>
                <w:lang w:val="en-US" w:eastAsia="zh-CN"/>
              </w:rPr>
              <w:t>)</w:t>
            </w:r>
            <w:r>
              <w:rPr>
                <w:rFonts w:hint="eastAsia" w:ascii="宋体" w:hAnsi="宋体" w:eastAsia="宋体" w:cs="宋体"/>
                <w:color w:val="auto"/>
                <w:kern w:val="0"/>
                <w:sz w:val="21"/>
                <w:szCs w:val="21"/>
                <w:highlight w:val="none"/>
              </w:rPr>
              <w:t>，由检测机构在单位工程开工前，根据建设工程质量检测合同、《检测计划》、规范标准等编制。</w:t>
            </w:r>
          </w:p>
          <w:p>
            <w:pPr>
              <w:keepNext w:val="0"/>
              <w:keepLines w:val="0"/>
              <w:pageBreakBefore w:val="0"/>
              <w:widowControl/>
              <w:shd w:val="clear" w:color="auto" w:fill="FFFFFF"/>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检测机构应当明确项目负责人，负责《检测方案》的编制与实施。检测机构项目负责人应当具有中级以上工程类专业技术职称，并从事检测工作3年以上。</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pacing w:val="-6"/>
                <w:kern w:val="2"/>
                <w:sz w:val="21"/>
                <w:szCs w:val="21"/>
                <w:highlight w:val="none"/>
                <w:lang w:val="en-US" w:eastAsia="zh-CN" w:bidi="ar-SA"/>
              </w:rPr>
            </w:pPr>
            <w:r>
              <w:rPr>
                <w:rFonts w:hint="eastAsia" w:ascii="宋体" w:hAnsi="宋体" w:eastAsia="宋体" w:cs="宋体"/>
                <w:color w:val="auto"/>
                <w:kern w:val="0"/>
                <w:sz w:val="21"/>
                <w:szCs w:val="21"/>
                <w:highlight w:val="none"/>
              </w:rPr>
              <w:t>《检测方案》应当包括以下主要内容：工程概况、建设工程质量检测责任主体、检测机构承诺书、检测项目负责人任命文件、检测工作质量保障措施、建设工程质量检测实施表、建设工程质量检测方案变更等。工程发生变更时，检测机构应当根据调整后的《检测计划》相应调整《检测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kern w:val="2"/>
                <w:sz w:val="21"/>
                <w:szCs w:val="21"/>
                <w:highlight w:val="none"/>
                <w:lang w:val="en-US" w:eastAsia="zh-CN" w:bidi="ar-SA"/>
              </w:rPr>
            </w:pPr>
            <w:r>
              <w:rPr>
                <w:rFonts w:hint="eastAsia" w:ascii="宋体" w:hAnsi="宋体" w:eastAsia="宋体" w:cs="宋体"/>
                <w:color w:val="auto"/>
                <w:spacing w:val="-6"/>
                <w:sz w:val="21"/>
                <w:szCs w:val="21"/>
                <w:highlight w:val="none"/>
              </w:rPr>
              <w:t>2.2.5.</w:t>
            </w:r>
            <w:r>
              <w:rPr>
                <w:rFonts w:hint="eastAsia" w:ascii="宋体" w:hAnsi="宋体" w:eastAsia="宋体" w:cs="宋体"/>
                <w:color w:val="auto"/>
                <w:spacing w:val="-6"/>
                <w:sz w:val="21"/>
                <w:szCs w:val="21"/>
                <w:highlight w:val="none"/>
                <w:lang w:val="en-US" w:eastAsia="zh-CN"/>
              </w:rPr>
              <w:t>6</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kern w:val="2"/>
                <w:sz w:val="21"/>
                <w:szCs w:val="21"/>
                <w:highlight w:val="none"/>
                <w:lang w:val="en-US" w:eastAsia="zh-CN" w:bidi="ar-SA"/>
              </w:rPr>
            </w:pPr>
            <w:r>
              <w:rPr>
                <w:rFonts w:hint="eastAsia" w:ascii="宋体" w:hAnsi="宋体" w:eastAsia="宋体" w:cs="宋体"/>
                <w:color w:val="auto"/>
                <w:spacing w:val="-6"/>
                <w:sz w:val="21"/>
                <w:szCs w:val="21"/>
                <w:highlight w:val="none"/>
              </w:rPr>
              <w:t>检测单位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kern w:val="2"/>
                <w:sz w:val="21"/>
                <w:szCs w:val="21"/>
                <w:highlight w:val="none"/>
                <w:lang w:val="en-US" w:eastAsia="zh-CN" w:bidi="ar-SA"/>
              </w:rPr>
            </w:pPr>
            <w:r>
              <w:rPr>
                <w:rFonts w:hint="eastAsia" w:ascii="宋体" w:hAnsi="宋体" w:eastAsia="宋体" w:cs="宋体"/>
                <w:color w:val="auto"/>
                <w:spacing w:val="-6"/>
                <w:sz w:val="21"/>
                <w:szCs w:val="21"/>
                <w:highlight w:val="none"/>
              </w:rPr>
              <w:t>应当按照国家有关工程建设强制性标准进行检测。</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kern w:val="2"/>
                <w:sz w:val="21"/>
                <w:szCs w:val="21"/>
                <w:highlight w:val="none"/>
                <w:lang w:val="en-US" w:eastAsia="zh-CN" w:bidi="ar-SA"/>
              </w:rPr>
            </w:pPr>
            <w:r>
              <w:rPr>
                <w:rFonts w:hint="eastAsia" w:ascii="宋体" w:hAnsi="宋体" w:eastAsia="宋体" w:cs="宋体"/>
                <w:color w:val="auto"/>
                <w:spacing w:val="-6"/>
                <w:sz w:val="21"/>
                <w:szCs w:val="21"/>
                <w:highlight w:val="none"/>
              </w:rPr>
              <w:t>《建设工程质量检测管理办法》（建设部令第141号）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kern w:val="2"/>
                <w:sz w:val="21"/>
                <w:szCs w:val="21"/>
                <w:highlight w:val="none"/>
                <w:lang w:val="en-US" w:eastAsia="zh-CN" w:bidi="ar-SA"/>
              </w:rPr>
            </w:pPr>
            <w:r>
              <w:rPr>
                <w:rFonts w:hint="eastAsia" w:ascii="宋体" w:hAnsi="宋体" w:eastAsia="宋体" w:cs="宋体"/>
                <w:color w:val="auto"/>
                <w:spacing w:val="-6"/>
                <w:sz w:val="21"/>
                <w:szCs w:val="21"/>
                <w:highlight w:val="none"/>
              </w:rPr>
              <w:t>第二条第二款……工程质量检测机构（以下简称检测机构）接受委托，依据国家有关法律、法规和工程建设强制性标准，对涉及结构安全项目的抽样检测和对进入施工现场的建筑材料、构配件的见证取样检测。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2.2.5.7</w:t>
            </w:r>
          </w:p>
        </w:tc>
        <w:tc>
          <w:tcPr>
            <w:tcW w:w="1259" w:type="dxa"/>
            <w:vMerge w:val="restart"/>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检测单位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对检测数据和检测报告的真实性和准确性负责。</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《建设工程质量检测管理办法》（建设部令第141号）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第十八条 检测机构应当对其检测数据和检测报告的真实性和准确性负责。</w:t>
            </w:r>
          </w:p>
          <w:p>
            <w:pPr>
              <w:keepNext w:val="0"/>
              <w:keepLines w:val="0"/>
              <w:pageBreakBefore w:val="0"/>
              <w:kinsoku/>
              <w:wordWrap/>
              <w:overflowPunct/>
              <w:topLinePunct w:val="0"/>
              <w:autoSpaceDE/>
              <w:autoSpaceDN/>
              <w:bidi w:val="0"/>
              <w:spacing w:line="260" w:lineRule="atLeast"/>
              <w:ind w:left="0" w:firstLine="198"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检测机构违反法律、法规和工程建设强制性标准，给他人造成损失的，应当依法承担相应的赔偿责任。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0"/>
                <w:sz w:val="21"/>
                <w:szCs w:val="21"/>
                <w:highlight w:val="none"/>
              </w:rPr>
            </w:pPr>
            <w:r>
              <w:rPr>
                <w:rStyle w:val="144"/>
                <w:rFonts w:hint="eastAsia" w:ascii="宋体" w:hAnsi="宋体" w:eastAsia="宋体" w:cs="宋体"/>
                <w:color w:val="auto"/>
                <w:sz w:val="21"/>
                <w:szCs w:val="21"/>
                <w:highlight w:val="none"/>
              </w:rPr>
              <w:t>《建筑与市政工程施工质量控制通用规范》GB55032-2022</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Style w:val="144"/>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3.4.4 检测机构应独立出具检验检测数据和结果。检测机构应对检测数据和检测报告的真实性和准确性负责。对检测结果不合格的报告严禁抽撤、替换或修改。</w:t>
            </w:r>
          </w:p>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sz w:val="21"/>
                <w:szCs w:val="21"/>
                <w:highlight w:val="none"/>
              </w:rPr>
            </w:pPr>
            <w:r>
              <w:rPr>
                <w:rStyle w:val="144"/>
                <w:rFonts w:hint="eastAsia" w:ascii="宋体" w:hAnsi="宋体" w:eastAsia="宋体" w:cs="宋体"/>
                <w:color w:val="auto"/>
                <w:sz w:val="21"/>
                <w:szCs w:val="21"/>
                <w:highlight w:val="none"/>
              </w:rPr>
              <w:t>3.4.5 检测机构严禁出具虚假检测报告。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1259" w:type="dxa"/>
            <w:vMerge w:val="continue"/>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《江苏省质量检测管理实施细则》</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苏建法〔2006〕97号</w:t>
            </w:r>
            <w:r>
              <w:rPr>
                <w:rFonts w:hint="eastAsia" w:ascii="宋体" w:hAnsi="宋体" w:eastAsia="宋体" w:cs="宋体"/>
                <w:color w:val="auto"/>
                <w:spacing w:val="-6"/>
                <w:sz w:val="21"/>
                <w:szCs w:val="21"/>
                <w:highlight w:val="none"/>
                <w:lang w:eastAsia="zh-CN"/>
              </w:rPr>
              <w:t>）</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第十一条第一款 检测人员应当严守职业道德和工作程序，保证试验检测数据科学、客观、公正，并对试验检测结果承担法律责任。检测人员应当经过相关检测技术培训。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2.2.5.8</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检测单位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应当将检测过程中发现的建设单位、监理单位、施工单位违反有关法律、法规和工程建设强制性标准的情况，以及涉及结构安全检测结果的不合格情况，及时报告工程所在地住房城乡建设主管部门。</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《建设工程质量检测管理办法》（建设部令第141号）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第十九条 检测机构应当将检测过程中发现的建设单位、监理单位、施工单位违反有关法律、法规和工程建设强制性标准的情况，以及涉及结构安全检测结果的不合格情况，及时报告工程所在地建设主管部门。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2.2.5.9</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检测单位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应当</w:t>
            </w:r>
            <w:r>
              <w:rPr>
                <w:rFonts w:hint="eastAsia" w:ascii="宋体" w:hAnsi="宋体" w:eastAsia="宋体" w:cs="宋体"/>
                <w:color w:val="auto"/>
                <w:spacing w:val="-6"/>
                <w:sz w:val="21"/>
                <w:szCs w:val="21"/>
                <w:highlight w:val="none"/>
                <w:lang w:val="en-US" w:eastAsia="zh-CN"/>
              </w:rPr>
              <w:t>按要求</w:t>
            </w:r>
            <w:r>
              <w:rPr>
                <w:rFonts w:hint="eastAsia" w:ascii="宋体" w:hAnsi="宋体" w:eastAsia="宋体" w:cs="宋体"/>
                <w:color w:val="auto"/>
                <w:spacing w:val="-6"/>
                <w:sz w:val="21"/>
                <w:szCs w:val="21"/>
                <w:highlight w:val="none"/>
              </w:rPr>
              <w:t>编制</w:t>
            </w:r>
            <w:r>
              <w:rPr>
                <w:rFonts w:hint="eastAsia" w:ascii="宋体" w:hAnsi="宋体" w:eastAsia="宋体" w:cs="宋体"/>
                <w:color w:val="auto"/>
                <w:kern w:val="0"/>
                <w:sz w:val="21"/>
                <w:szCs w:val="21"/>
                <w:highlight w:val="none"/>
              </w:rPr>
              <w:t>建设工程质量检测综合报告</w:t>
            </w:r>
            <w:r>
              <w:rPr>
                <w:rFonts w:hint="eastAsia" w:ascii="宋体" w:hAnsi="宋体" w:eastAsia="宋体" w:cs="宋体"/>
                <w:color w:val="auto"/>
                <w:spacing w:val="-6"/>
                <w:sz w:val="21"/>
                <w:szCs w:val="21"/>
                <w:highlight w:val="none"/>
              </w:rPr>
              <w:t>。</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pacing w:val="-6"/>
                <w:sz w:val="21"/>
                <w:szCs w:val="21"/>
                <w:highlight w:val="none"/>
              </w:rPr>
              <w:t>《</w:t>
            </w:r>
            <w:r>
              <w:rPr>
                <w:rFonts w:hint="eastAsia" w:ascii="宋体" w:hAnsi="宋体" w:eastAsia="宋体" w:cs="宋体"/>
                <w:color w:val="auto"/>
                <w:sz w:val="21"/>
                <w:szCs w:val="21"/>
                <w:highlight w:val="none"/>
                <w:shd w:val="clear" w:color="auto" w:fill="FFFFFF"/>
              </w:rPr>
              <w:t>江苏省住房城乡建设厅关于实行建设工程质量检测综合报告制度的通知</w:t>
            </w:r>
            <w:r>
              <w:rPr>
                <w:rFonts w:hint="eastAsia" w:ascii="宋体" w:hAnsi="宋体" w:eastAsia="宋体" w:cs="宋体"/>
                <w:color w:val="auto"/>
                <w:spacing w:val="-6"/>
                <w:sz w:val="21"/>
                <w:szCs w:val="21"/>
                <w:highlight w:val="none"/>
              </w:rPr>
              <w:t>》（苏建规字〔2020〕8号）</w:t>
            </w:r>
          </w:p>
        </w:tc>
        <w:tc>
          <w:tcPr>
            <w:tcW w:w="11060" w:type="dxa"/>
            <w:vAlign w:val="center"/>
          </w:tcPr>
          <w:p>
            <w:pPr>
              <w:keepNext w:val="0"/>
              <w:keepLines w:val="0"/>
              <w:pageBreakBefore w:val="0"/>
              <w:widowControl/>
              <w:shd w:val="clear" w:color="auto" w:fill="FFFFFF"/>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（三）建设工程质量检测综合报告</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建设工程质量检测综合报告（以下简称《综合报告》），由检测机构在完成检测合同约定的全部检测任务后，对《检测计划》和《检测方案》实施情况进行汇总分析后，由检测机构项目负责人负责组织编制，在分部工程验收或竣工验收前提交建设单位。</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《综合报告》应当包括以下主要内容：工程概况、建设工程质量检测责任主体、建设工程质量检测变更汇总、建设工程质量检测工作统计、检测工作总结等。</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kern w:val="0"/>
                <w:sz w:val="21"/>
                <w:szCs w:val="21"/>
                <w:highlight w:val="none"/>
              </w:rPr>
              <w:t>《综合报告》经建设单位签收后归入竣工验收资料中的工程质量检测资料。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2.2.5.10</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检测单位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应当单独建立检测结果不合格项目台账。</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《建设工程质量检测管理办法》（建设部令第141号）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第二十条第二款 检测机构应当单独建立检测结果不合格项目台账。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2.2.5.11</w:t>
            </w:r>
          </w:p>
        </w:tc>
        <w:tc>
          <w:tcPr>
            <w:tcW w:w="1259" w:type="dxa"/>
            <w:vAlign w:val="center"/>
          </w:tcPr>
          <w:p>
            <w:pPr>
              <w:keepNext w:val="0"/>
              <w:keepLines w:val="0"/>
              <w:pageBreakBefore w:val="0"/>
              <w:widowControl/>
              <w:kinsoku/>
              <w:wordWrap/>
              <w:overflowPunct/>
              <w:topLinePunct w:val="0"/>
              <w:autoSpaceDE/>
              <w:autoSpaceDN/>
              <w:bidi w:val="0"/>
              <w:spacing w:line="260" w:lineRule="atLeast"/>
              <w:ind w:left="0"/>
              <w:jc w:val="left"/>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质量行为要求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检测单位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应当</w:t>
            </w:r>
            <w:r>
              <w:rPr>
                <w:rFonts w:hint="eastAsia" w:ascii="宋体" w:hAnsi="宋体" w:eastAsia="宋体" w:cs="宋体"/>
                <w:color w:val="auto"/>
                <w:spacing w:val="-6"/>
                <w:sz w:val="21"/>
                <w:szCs w:val="21"/>
                <w:highlight w:val="none"/>
                <w:lang w:val="en-US" w:eastAsia="zh-CN"/>
              </w:rPr>
              <w:t>按要求</w:t>
            </w:r>
            <w:r>
              <w:rPr>
                <w:rFonts w:hint="eastAsia" w:ascii="宋体" w:hAnsi="宋体" w:eastAsia="宋体" w:cs="宋体"/>
                <w:color w:val="auto"/>
                <w:spacing w:val="-6"/>
                <w:sz w:val="21"/>
                <w:szCs w:val="21"/>
                <w:highlight w:val="none"/>
              </w:rPr>
              <w:t>建立档案管理制度。</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《建设工程质量检测管理办法》（建设部令第141号）</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第二十条第一款 检测机构应当建立档案管理制度。检测合同、委托单、原始记录、检测报告应当按年度统一编号，编号应当连续，不得随意抽撤、涂改。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实体工程质量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3.1</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燃气场站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3.1.1</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一般要求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3.1.1.1</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一般要求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建设单位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应当按规定组织设计交底、图纸会审、施工方案编制和审批，施工用设备（含检测设备）的准备，施工过程中应按规定做好施工记录。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《汽车加油加气加氢站技术标准》GB50156-202</w:t>
            </w:r>
            <w:r>
              <w:rPr>
                <w:rFonts w:hint="eastAsia" w:ascii="宋体" w:hAnsi="宋体" w:eastAsia="宋体" w:cs="宋体"/>
                <w:color w:val="auto"/>
                <w:sz w:val="21"/>
                <w:szCs w:val="21"/>
                <w:highlight w:val="none"/>
              </w:rPr>
              <w:t>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15.1.2 施工开工前建设单位应组织或委托监理单位组织设计单位、施工单位进行设计交底、图纸会审。</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15.1.3 施工单位应组织施工图纸核查、参加设计交底、编制施工方案报监理单位或建设单位代表审批。</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15.1.4 施工用设备、检测设备性能应可靠，计显器具应经过检定或校准，处于合格状态，</w:t>
            </w:r>
            <w:r>
              <w:rPr>
                <w:rFonts w:hint="eastAsia" w:ascii="宋体" w:hAnsi="宋体" w:eastAsia="宋体" w:cs="宋体"/>
                <w:color w:val="auto"/>
                <w:sz w:val="21"/>
                <w:szCs w:val="21"/>
                <w:highlight w:val="none"/>
                <w:lang w:eastAsia="zh-CN"/>
              </w:rPr>
              <w:t>并</w:t>
            </w:r>
            <w:r>
              <w:rPr>
                <w:rFonts w:hint="eastAsia" w:ascii="宋体" w:hAnsi="宋体" w:eastAsia="宋体" w:cs="宋体"/>
                <w:color w:val="auto"/>
                <w:sz w:val="21"/>
                <w:szCs w:val="21"/>
                <w:highlight w:val="none"/>
              </w:rPr>
              <w:t>应在有效期内使用。</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l5.I.5 汽车加油加气加氢站施工应做好施工记录，其中隐蔽工程施工记录应有相关单位代表参加现场验收并书面确认签字。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3.1.1.2</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一般要求</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工程测量、场地平整和土方开挖等应符合设计及相关标准要求。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《汽车加油加气加氢站技术标准》GB50156-2021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15.3.1 工程测量应按现行国家标准《工程测量标准》GB50026的有关规定进行。施工过程中应对平面控制桩、水准点等测量成果进行检查和复测、并应对水准点和标桩采取保护措施。</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15.3.2 进行场地平整和土方开挖回填作业时，应采取防止地表水或地下水流入作业区的措施。排水出口应设置在远离建筑物的低洼地点，并应保证排水畅通。排水暗沟的出水口处应采取防止冻结的措施。临时排水设施应待地下工程土方</w:t>
            </w:r>
            <w:r>
              <w:rPr>
                <w:rFonts w:hint="eastAsia" w:ascii="宋体" w:hAnsi="宋体" w:eastAsia="宋体" w:cs="宋体"/>
                <w:color w:val="auto"/>
                <w:sz w:val="21"/>
                <w:szCs w:val="21"/>
                <w:highlight w:val="none"/>
                <w:lang w:eastAsia="zh-CN"/>
              </w:rPr>
              <w:t>回填</w:t>
            </w:r>
            <w:r>
              <w:rPr>
                <w:rFonts w:hint="eastAsia" w:ascii="宋体" w:hAnsi="宋体" w:eastAsia="宋体" w:cs="宋体"/>
                <w:color w:val="auto"/>
                <w:sz w:val="21"/>
                <w:szCs w:val="21"/>
                <w:highlight w:val="none"/>
              </w:rPr>
              <w:t>完毕后再拆除。</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15.3.3 在地下水位以下开挖土方时，应采取防止周围建（构）筑物产生附加沉降的措施。</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15.3.4 当设计文件无要求时，场地平整应以不小于2%的坡度坡向排水沟。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3.1.2</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color w:val="auto"/>
                <w:spacing w:val="-6"/>
                <w:kern w:val="0"/>
                <w:sz w:val="21"/>
                <w:szCs w:val="21"/>
                <w:highlight w:val="none"/>
              </w:rPr>
            </w:pPr>
            <w:r>
              <w:rPr>
                <w:rFonts w:hint="eastAsia" w:ascii="宋体" w:hAnsi="宋体" w:eastAsia="宋体" w:cs="宋体"/>
                <w:b/>
                <w:bCs/>
                <w:color w:val="auto"/>
                <w:sz w:val="21"/>
                <w:szCs w:val="21"/>
                <w:highlight w:val="none"/>
              </w:rPr>
              <w:t>材料设备的检查验收与装卸、运输、存放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3.1.2.1</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材料设备的检查验收与装卸、运输、存放</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材料和设备应具有质</w:t>
            </w:r>
            <w:r>
              <w:rPr>
                <w:rFonts w:hint="eastAsia" w:ascii="宋体" w:hAnsi="宋体" w:eastAsia="宋体" w:cs="宋体"/>
                <w:color w:val="auto"/>
                <w:sz w:val="21"/>
                <w:szCs w:val="21"/>
                <w:highlight w:val="none"/>
              </w:rPr>
              <w:t>量</w:t>
            </w:r>
            <w:r>
              <w:rPr>
                <w:rFonts w:hint="eastAsia" w:ascii="宋体" w:hAnsi="宋体" w:eastAsia="宋体" w:cs="宋体"/>
                <w:color w:val="auto"/>
                <w:sz w:val="21"/>
                <w:szCs w:val="21"/>
                <w:highlight w:val="none"/>
                <w:lang w:bidi="zh-CN"/>
              </w:rPr>
              <w:t>证明文件和批号，并应符合</w:t>
            </w:r>
            <w:r>
              <w:rPr>
                <w:rFonts w:hint="eastAsia" w:ascii="宋体" w:hAnsi="宋体" w:eastAsia="宋体" w:cs="宋体"/>
                <w:color w:val="auto"/>
                <w:sz w:val="21"/>
                <w:szCs w:val="21"/>
                <w:highlight w:val="none"/>
              </w:rPr>
              <w:t>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《汽车加油加气加氢站技术标准》GB50156-202</w:t>
            </w:r>
            <w:r>
              <w:rPr>
                <w:rFonts w:hint="eastAsia" w:ascii="宋体" w:hAnsi="宋体" w:eastAsia="宋体" w:cs="宋体"/>
                <w:color w:val="auto"/>
                <w:sz w:val="21"/>
                <w:szCs w:val="21"/>
                <w:highlight w:val="none"/>
              </w:rPr>
              <w:t>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15.2.1 材料和设备的规格、型号、材质等应符合设计文件的要求。</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15.2.2 材料和设备应具有质量证明文件和批号。</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15.2.12 当材料和设备有下列</w:t>
            </w:r>
            <w:r>
              <w:rPr>
                <w:rFonts w:hint="eastAsia" w:ascii="宋体" w:hAnsi="宋体" w:eastAsia="宋体" w:cs="宋体"/>
                <w:color w:val="auto"/>
                <w:sz w:val="21"/>
                <w:szCs w:val="21"/>
                <w:highlight w:val="none"/>
                <w:lang w:eastAsia="zh-CN"/>
              </w:rPr>
              <w:t>情况</w:t>
            </w:r>
            <w:r>
              <w:rPr>
                <w:rFonts w:hint="eastAsia" w:ascii="宋体" w:hAnsi="宋体" w:eastAsia="宋体" w:cs="宋体"/>
                <w:color w:val="auto"/>
                <w:sz w:val="21"/>
                <w:szCs w:val="21"/>
                <w:highlight w:val="none"/>
              </w:rPr>
              <w:t>之一时，不得使用：</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质量证明文件特性数据不全或对其数据有异议的；</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实物标识与质量证明文件标识不符的；</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要求复验的材料未进行复验或复验后不合格的；</w:t>
            </w:r>
          </w:p>
          <w:p>
            <w:pPr>
              <w:pStyle w:val="2"/>
              <w:keepNext w:val="0"/>
              <w:keepLines w:val="0"/>
              <w:pageBreakBefore w:val="0"/>
              <w:kinsoku/>
              <w:wordWrap/>
              <w:overflowPunct/>
              <w:topLinePunct w:val="0"/>
              <w:autoSpaceDE/>
              <w:autoSpaceDN/>
              <w:bidi w:val="0"/>
              <w:spacing w:line="260" w:lineRule="atLeast"/>
              <w:ind w:left="0" w:leftChars="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不满足设计或国家现行有关产品标准和本标准要求的。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3.1.2.2</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材料设备的检查验收与装卸、运输、存放</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低温钢质</w:t>
            </w:r>
            <w:r>
              <w:rPr>
                <w:rFonts w:hint="eastAsia" w:ascii="宋体" w:hAnsi="宋体" w:eastAsia="宋体" w:cs="宋体"/>
                <w:color w:val="auto"/>
                <w:sz w:val="21"/>
                <w:szCs w:val="21"/>
                <w:highlight w:val="none"/>
              </w:rPr>
              <w:t>量</w:t>
            </w:r>
            <w:r>
              <w:rPr>
                <w:rFonts w:hint="eastAsia" w:ascii="宋体" w:hAnsi="宋体" w:eastAsia="宋体" w:cs="宋体"/>
                <w:color w:val="auto"/>
                <w:sz w:val="21"/>
                <w:szCs w:val="21"/>
                <w:highlight w:val="none"/>
                <w:lang w:bidi="zh-CN"/>
              </w:rPr>
              <w:t>证明文件应包含低温夏比冲击试验值，合格标准应符合相应的产品标准。</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《汽车加油加气加氢站技术标准》GB50156-202</w:t>
            </w:r>
            <w:r>
              <w:rPr>
                <w:rFonts w:hint="eastAsia" w:ascii="宋体" w:hAnsi="宋体" w:eastAsia="宋体" w:cs="宋体"/>
                <w:color w:val="auto"/>
                <w:sz w:val="21"/>
                <w:szCs w:val="21"/>
                <w:highlight w:val="none"/>
              </w:rPr>
              <w:t>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15.2.3 低温钢质</w:t>
            </w:r>
            <w:r>
              <w:rPr>
                <w:rFonts w:hint="eastAsia" w:ascii="宋体" w:hAnsi="宋体" w:eastAsia="宋体" w:cs="宋体"/>
                <w:color w:val="auto"/>
                <w:sz w:val="21"/>
                <w:szCs w:val="21"/>
                <w:highlight w:val="none"/>
              </w:rPr>
              <w:t>量</w:t>
            </w:r>
            <w:r>
              <w:rPr>
                <w:rFonts w:hint="eastAsia" w:ascii="宋体" w:hAnsi="宋体" w:eastAsia="宋体" w:cs="宋体"/>
                <w:color w:val="auto"/>
                <w:sz w:val="21"/>
                <w:szCs w:val="21"/>
                <w:highlight w:val="none"/>
                <w:lang w:bidi="zh-CN"/>
              </w:rPr>
              <w:t>证明文件应包含低温夏比冲击试验值，合格标准应符合相应的产品标准。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3.1.2.3</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材料设备的检查验收与装卸、运输、存放</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焊接材料熔敷金</w:t>
            </w:r>
            <w:r>
              <w:rPr>
                <w:rFonts w:hint="eastAsia" w:ascii="宋体" w:hAnsi="宋体" w:eastAsia="宋体" w:cs="宋体"/>
                <w:color w:val="auto"/>
                <w:sz w:val="21"/>
                <w:szCs w:val="21"/>
                <w:highlight w:val="none"/>
              </w:rPr>
              <w:t>属</w:t>
            </w:r>
            <w:r>
              <w:rPr>
                <w:rFonts w:hint="eastAsia" w:ascii="宋体" w:hAnsi="宋体" w:eastAsia="宋体" w:cs="宋体"/>
                <w:color w:val="auto"/>
                <w:sz w:val="21"/>
                <w:szCs w:val="21"/>
                <w:highlight w:val="none"/>
                <w:lang w:bidi="zh-CN"/>
              </w:rPr>
              <w:t>的化学成分和力学性能应与母材相近，低温冲击韧性值不低于母材标准值。</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《汽车加油加气加氢站技术标准》GB50156-202</w:t>
            </w:r>
            <w:r>
              <w:rPr>
                <w:rFonts w:hint="eastAsia" w:ascii="宋体" w:hAnsi="宋体" w:eastAsia="宋体" w:cs="宋体"/>
                <w:color w:val="auto"/>
                <w:sz w:val="21"/>
                <w:szCs w:val="21"/>
                <w:highlight w:val="none"/>
              </w:rPr>
              <w:t>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15</w:t>
            </w:r>
            <w:r>
              <w:rPr>
                <w:rFonts w:hint="eastAsia" w:ascii="宋体" w:hAnsi="宋体" w:eastAsia="宋体" w:cs="宋体"/>
                <w:color w:val="auto"/>
                <w:sz w:val="21"/>
                <w:szCs w:val="21"/>
                <w:highlight w:val="none"/>
              </w:rPr>
              <w:t xml:space="preserve">.2.4 </w:t>
            </w:r>
            <w:r>
              <w:rPr>
                <w:rFonts w:hint="eastAsia" w:ascii="宋体" w:hAnsi="宋体" w:eastAsia="宋体" w:cs="宋体"/>
                <w:color w:val="auto"/>
                <w:sz w:val="21"/>
                <w:szCs w:val="21"/>
                <w:highlight w:val="none"/>
                <w:lang w:bidi="zh-CN"/>
              </w:rPr>
              <w:t>焊接材料熔敷金</w:t>
            </w:r>
            <w:r>
              <w:rPr>
                <w:rFonts w:hint="eastAsia" w:ascii="宋体" w:hAnsi="宋体" w:eastAsia="宋体" w:cs="宋体"/>
                <w:color w:val="auto"/>
                <w:sz w:val="21"/>
                <w:szCs w:val="21"/>
                <w:highlight w:val="none"/>
              </w:rPr>
              <w:t>属</w:t>
            </w:r>
            <w:r>
              <w:rPr>
                <w:rFonts w:hint="eastAsia" w:ascii="宋体" w:hAnsi="宋体" w:eastAsia="宋体" w:cs="宋体"/>
                <w:color w:val="auto"/>
                <w:sz w:val="21"/>
                <w:szCs w:val="21"/>
                <w:highlight w:val="none"/>
                <w:lang w:bidi="zh-CN"/>
              </w:rPr>
              <w:t>的化学成分和力学性能应与母材相近，低温冲击韧性值不低于母材标准值。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3.1.2.4</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材料设备的检查验收与装卸、运输、存放</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管子和管件，外表面应逐件进行表面无损检测，且不得有线性缺陷。</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《汽车加油加气加氢站技术标准》GB50156-202</w:t>
            </w:r>
            <w:r>
              <w:rPr>
                <w:rFonts w:hint="eastAsia" w:ascii="宋体" w:hAnsi="宋体" w:eastAsia="宋体" w:cs="宋体"/>
                <w:color w:val="auto"/>
                <w:sz w:val="21"/>
                <w:szCs w:val="21"/>
                <w:highlight w:val="none"/>
              </w:rPr>
              <w:t>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15.</w:t>
            </w:r>
            <w:r>
              <w:rPr>
                <w:rFonts w:hint="eastAsia" w:ascii="宋体" w:hAnsi="宋体" w:eastAsia="宋体" w:cs="宋体"/>
                <w:color w:val="auto"/>
                <w:sz w:val="21"/>
                <w:szCs w:val="21"/>
                <w:highlight w:val="none"/>
              </w:rPr>
              <w:t xml:space="preserve">2.5 </w:t>
            </w:r>
            <w:r>
              <w:rPr>
                <w:rFonts w:hint="eastAsia" w:ascii="宋体" w:hAnsi="宋体" w:eastAsia="宋体" w:cs="宋体"/>
                <w:color w:val="auto"/>
                <w:sz w:val="21"/>
                <w:szCs w:val="21"/>
                <w:highlight w:val="none"/>
                <w:lang w:bidi="zh-CN"/>
              </w:rPr>
              <w:t>设计压力大</w:t>
            </w:r>
            <w:r>
              <w:rPr>
                <w:rFonts w:hint="eastAsia" w:ascii="宋体" w:hAnsi="宋体" w:eastAsia="宋体" w:cs="宋体"/>
                <w:color w:val="auto"/>
                <w:sz w:val="21"/>
                <w:szCs w:val="21"/>
                <w:highlight w:val="none"/>
              </w:rPr>
              <w:t>于</w:t>
            </w:r>
            <w:r>
              <w:rPr>
                <w:rFonts w:hint="eastAsia" w:ascii="宋体" w:hAnsi="宋体" w:eastAsia="宋体" w:cs="宋体"/>
                <w:color w:val="auto"/>
                <w:sz w:val="21"/>
                <w:szCs w:val="21"/>
                <w:highlight w:val="none"/>
                <w:lang w:bidi="zh-CN"/>
              </w:rPr>
              <w:t>或等于l0MPa的管子和管件，外表面应逐件进行表面无损检测，且不得有线性缺陷。</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15.2.6 设计压力大于或等于l0MPa的管子和管件，外表面应逐件进行磁粉或渗透检测，检渊结果应符合现行行业标准《承压设备无损检测第4部分：磁粉检测》NB/T47013.4-2015中的1级和《承压设备无损检测第5部分：渗透检测》NB/T47013.5-2015中的I级的规定，且不得有线性缺陷。经磁粉或渗透检测发现的表面缺陷应进行修</w:t>
            </w:r>
            <w:r>
              <w:rPr>
                <w:rFonts w:hint="eastAsia" w:ascii="宋体" w:hAnsi="宋体" w:eastAsia="宋体" w:cs="宋体"/>
                <w:color w:val="auto"/>
                <w:sz w:val="21"/>
                <w:szCs w:val="21"/>
                <w:highlight w:val="none"/>
              </w:rPr>
              <w:t>磨</w:t>
            </w:r>
            <w:r>
              <w:rPr>
                <w:rFonts w:hint="eastAsia" w:ascii="宋体" w:hAnsi="宋体" w:eastAsia="宋体" w:cs="宋体"/>
                <w:color w:val="auto"/>
                <w:sz w:val="21"/>
                <w:szCs w:val="21"/>
                <w:highlight w:val="none"/>
                <w:lang w:bidi="zh-CN"/>
              </w:rPr>
              <w:t>。修磨后的实际壁厚不得小于管子名义厚度的90%、且不得小于设计壁厚。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3.1.2.5</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材料设备的检查验收与装卸、运输、存放</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计量仪器的检定应符合相关标准要求。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《汽车加油加气加氢站技术标准》GB50156-202</w:t>
            </w:r>
            <w:r>
              <w:rPr>
                <w:rFonts w:hint="eastAsia" w:ascii="宋体" w:hAnsi="宋体" w:eastAsia="宋体" w:cs="宋体"/>
                <w:color w:val="auto"/>
                <w:sz w:val="21"/>
                <w:szCs w:val="21"/>
                <w:highlight w:val="none"/>
              </w:rPr>
              <w:t>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w:t>
            </w:r>
            <w:r>
              <w:rPr>
                <w:rFonts w:hint="eastAsia" w:ascii="宋体" w:hAnsi="宋体" w:eastAsia="宋体" w:cs="宋体"/>
                <w:color w:val="auto"/>
                <w:sz w:val="21"/>
                <w:szCs w:val="21"/>
                <w:highlight w:val="none"/>
                <w:lang w:bidi="zh-CN"/>
              </w:rPr>
              <w:t>.2.7 计量仪器应经过检定处于合格状态，并应在有效检定期内。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3.1.2.6</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材料设备的检查验收与装卸、运输、存放</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设备、管道组成件的开箱检验应符合相关标准要求。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《汽车加油加气加氢站技术标准》GB50156-202</w:t>
            </w:r>
            <w:r>
              <w:rPr>
                <w:rFonts w:hint="eastAsia" w:ascii="宋体" w:hAnsi="宋体" w:eastAsia="宋体" w:cs="宋体"/>
                <w:color w:val="auto"/>
                <w:sz w:val="21"/>
                <w:szCs w:val="21"/>
                <w:highlight w:val="none"/>
              </w:rPr>
              <w:t>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15.2.8 设备的开箱检验应由采购单位组织，供货单位、施工单位、建设单位等有关人员参加，并应按装箱清单进行下列检查：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rPr>
              <w:t xml:space="preserve">1 </w:t>
            </w:r>
            <w:r>
              <w:rPr>
                <w:rFonts w:hint="eastAsia" w:ascii="宋体" w:hAnsi="宋体" w:eastAsia="宋体" w:cs="宋体"/>
                <w:color w:val="auto"/>
                <w:sz w:val="21"/>
                <w:szCs w:val="21"/>
                <w:highlight w:val="none"/>
                <w:lang w:val="zh-CN"/>
              </w:rPr>
              <w:t>应核对设备的名称、型号、规格、包装箱号、箱数，并应检查包装状况；</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rPr>
              <w:t xml:space="preserve">2 </w:t>
            </w:r>
            <w:r>
              <w:rPr>
                <w:rFonts w:hint="eastAsia" w:ascii="宋体" w:hAnsi="宋体" w:eastAsia="宋体" w:cs="宋体"/>
                <w:color w:val="auto"/>
                <w:sz w:val="21"/>
                <w:szCs w:val="21"/>
                <w:highlight w:val="none"/>
                <w:lang w:val="zh-CN"/>
              </w:rPr>
              <w:t>应检查随机技术资料及专用工具；</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rPr>
              <w:t xml:space="preserve">3 </w:t>
            </w:r>
            <w:r>
              <w:rPr>
                <w:rFonts w:hint="eastAsia" w:ascii="宋体" w:hAnsi="宋体" w:eastAsia="宋体" w:cs="宋体"/>
                <w:color w:val="auto"/>
                <w:sz w:val="21"/>
                <w:szCs w:val="21"/>
                <w:highlight w:val="none"/>
                <w:lang w:val="zh-CN"/>
              </w:rPr>
              <w:t>应对主机、附属设备及零部件进行外观检查，并应核实笭部件的品种、规格、数</w:t>
            </w:r>
            <w:r>
              <w:rPr>
                <w:rFonts w:hint="eastAsia" w:ascii="宋体" w:hAnsi="宋体" w:eastAsia="宋体" w:cs="宋体"/>
                <w:color w:val="auto"/>
                <w:sz w:val="21"/>
                <w:szCs w:val="21"/>
                <w:highlight w:val="none"/>
              </w:rPr>
              <w:t>据</w:t>
            </w:r>
            <w:r>
              <w:rPr>
                <w:rFonts w:hint="eastAsia" w:ascii="宋体" w:hAnsi="宋体" w:eastAsia="宋体" w:cs="宋体"/>
                <w:color w:val="auto"/>
                <w:sz w:val="21"/>
                <w:szCs w:val="21"/>
                <w:highlight w:val="none"/>
                <w:lang w:val="zh-CN"/>
              </w:rPr>
              <w:t>等；</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rPr>
              <w:t xml:space="preserve">4 </w:t>
            </w:r>
            <w:r>
              <w:rPr>
                <w:rFonts w:hint="eastAsia" w:ascii="宋体" w:hAnsi="宋体" w:eastAsia="宋体" w:cs="宋体"/>
                <w:color w:val="auto"/>
                <w:sz w:val="21"/>
                <w:szCs w:val="21"/>
                <w:highlight w:val="none"/>
                <w:lang w:val="zh-CN"/>
              </w:rPr>
              <w:t>检验后应提交有参与各方签字的检验记录。</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15.2.9 可燃介质管道的组成件应有产品标识，并应按现行国家标准《石油化工金属管道工程施工质量验收规范》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50517的有关规定进行检验。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3.1.2.7</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材料设备的检查验收与装卸、运输、存放</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油罐在安装前应按规定进行检查。</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《汽车加油加气加氢站技术标准》GB50156-202</w:t>
            </w:r>
            <w:r>
              <w:rPr>
                <w:rFonts w:hint="eastAsia" w:ascii="宋体" w:hAnsi="宋体" w:eastAsia="宋体" w:cs="宋体"/>
                <w:color w:val="auto"/>
                <w:sz w:val="21"/>
                <w:szCs w:val="21"/>
                <w:highlight w:val="none"/>
              </w:rPr>
              <w:t>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15</w:t>
            </w:r>
            <w:r>
              <w:rPr>
                <w:rFonts w:hint="eastAsia" w:ascii="宋体" w:hAnsi="宋体" w:eastAsia="宋体" w:cs="宋体"/>
                <w:color w:val="auto"/>
                <w:sz w:val="21"/>
                <w:szCs w:val="21"/>
                <w:highlight w:val="none"/>
                <w:lang w:bidi="zh-CN"/>
              </w:rPr>
              <w:t>.2.10</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lang w:bidi="zh-CN"/>
              </w:rPr>
              <w:t>油罐在安装前应进行下列检查：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 xml:space="preserve">1 </w:t>
            </w:r>
            <w:r>
              <w:rPr>
                <w:rFonts w:hint="eastAsia" w:ascii="宋体" w:hAnsi="宋体" w:eastAsia="宋体" w:cs="宋体"/>
                <w:color w:val="auto"/>
                <w:sz w:val="21"/>
                <w:szCs w:val="21"/>
                <w:highlight w:val="none"/>
                <w:lang w:bidi="zh-CN"/>
              </w:rPr>
              <w:t>钢制油罐应进行压力试验，试验用压力表精度不应低于</w:t>
            </w:r>
            <w:r>
              <w:rPr>
                <w:rFonts w:hint="eastAsia" w:ascii="宋体" w:hAnsi="宋体" w:eastAsia="宋体" w:cs="宋体"/>
                <w:color w:val="auto"/>
                <w:sz w:val="21"/>
                <w:szCs w:val="21"/>
                <w:highlight w:val="none"/>
              </w:rPr>
              <w:t>2.5</w:t>
            </w:r>
            <w:r>
              <w:rPr>
                <w:rFonts w:hint="eastAsia" w:ascii="宋体" w:hAnsi="宋体" w:eastAsia="宋体" w:cs="宋体"/>
                <w:color w:val="auto"/>
                <w:sz w:val="21"/>
                <w:szCs w:val="21"/>
                <w:highlight w:val="none"/>
                <w:lang w:bidi="zh-CN"/>
              </w:rPr>
              <w:t>级，试验介质应为温度不低于</w:t>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bidi="zh-CN"/>
              </w:rPr>
              <w:t>℃的洁净水，试验压力应为</w:t>
            </w:r>
            <w:r>
              <w:rPr>
                <w:rFonts w:hint="eastAsia" w:ascii="宋体" w:hAnsi="宋体" w:eastAsia="宋体" w:cs="宋体"/>
                <w:color w:val="auto"/>
                <w:sz w:val="21"/>
                <w:szCs w:val="21"/>
                <w:highlight w:val="none"/>
              </w:rPr>
              <w:t>0.1</w:t>
            </w:r>
            <w:r>
              <w:rPr>
                <w:rFonts w:hint="eastAsia" w:ascii="宋体" w:hAnsi="宋体" w:eastAsia="宋体" w:cs="宋体"/>
                <w:color w:val="auto"/>
                <w:sz w:val="21"/>
                <w:szCs w:val="21"/>
                <w:highlight w:val="none"/>
                <w:lang w:bidi="zh-CN"/>
              </w:rPr>
              <w:t>MPa。升压至</w:t>
            </w:r>
            <w:r>
              <w:rPr>
                <w:rFonts w:hint="eastAsia" w:ascii="宋体" w:hAnsi="宋体" w:eastAsia="宋体" w:cs="宋体"/>
                <w:color w:val="auto"/>
                <w:sz w:val="21"/>
                <w:szCs w:val="21"/>
                <w:highlight w:val="none"/>
              </w:rPr>
              <w:t>0.1</w:t>
            </w:r>
            <w:r>
              <w:rPr>
                <w:rFonts w:hint="eastAsia" w:ascii="宋体" w:hAnsi="宋体" w:eastAsia="宋体" w:cs="宋体"/>
                <w:color w:val="auto"/>
                <w:sz w:val="21"/>
                <w:szCs w:val="21"/>
                <w:highlight w:val="none"/>
                <w:lang w:bidi="zh-CN"/>
              </w:rPr>
              <w:t>MPa后，应停压lOmin，然后降至O.08MPa，再停压30min，应以不降压、无泄涌和无变形为合格。压力试验后，应及时清除练内的积水及焊渣等污物。</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 xml:space="preserve">2 </w:t>
            </w:r>
            <w:r>
              <w:rPr>
                <w:rFonts w:hint="eastAsia" w:ascii="宋体" w:hAnsi="宋体" w:eastAsia="宋体" w:cs="宋体"/>
                <w:color w:val="auto"/>
                <w:sz w:val="21"/>
                <w:szCs w:val="21"/>
                <w:highlight w:val="none"/>
                <w:lang w:bidi="zh-CN"/>
              </w:rPr>
              <w:t>双层油罐内层与外层之间的间隙应以35kPa空气静压进行正压或真空度渗</w:t>
            </w:r>
            <w:r>
              <w:rPr>
                <w:rFonts w:hint="eastAsia" w:ascii="宋体" w:hAnsi="宋体" w:eastAsia="宋体" w:cs="宋体"/>
                <w:color w:val="auto"/>
                <w:sz w:val="21"/>
                <w:szCs w:val="21"/>
                <w:highlight w:val="none"/>
              </w:rPr>
              <w:t>漏</w:t>
            </w:r>
            <w:r>
              <w:rPr>
                <w:rFonts w:hint="eastAsia" w:ascii="宋体" w:hAnsi="宋体" w:eastAsia="宋体" w:cs="宋体"/>
                <w:color w:val="auto"/>
                <w:sz w:val="21"/>
                <w:szCs w:val="21"/>
                <w:highlight w:val="none"/>
                <w:lang w:bidi="zh-CN"/>
              </w:rPr>
              <w:t>检测，持压30min，不降</w:t>
            </w:r>
            <w:r>
              <w:rPr>
                <w:rFonts w:hint="eastAsia" w:ascii="宋体" w:hAnsi="宋体" w:eastAsia="宋体" w:cs="宋体"/>
                <w:color w:val="auto"/>
                <w:sz w:val="21"/>
                <w:szCs w:val="21"/>
                <w:highlight w:val="none"/>
              </w:rPr>
              <w:t>压</w:t>
            </w:r>
            <w:r>
              <w:rPr>
                <w:rFonts w:hint="eastAsia" w:ascii="宋体" w:hAnsi="宋体" w:eastAsia="宋体" w:cs="宋体"/>
                <w:color w:val="auto"/>
                <w:sz w:val="21"/>
                <w:szCs w:val="21"/>
                <w:highlight w:val="none"/>
                <w:lang w:bidi="zh-CN"/>
              </w:rPr>
              <w:t>、无泄漏为合格，</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 xml:space="preserve">3 </w:t>
            </w:r>
            <w:r>
              <w:rPr>
                <w:rFonts w:hint="eastAsia" w:ascii="宋体" w:hAnsi="宋体" w:eastAsia="宋体" w:cs="宋体"/>
                <w:color w:val="auto"/>
                <w:sz w:val="21"/>
                <w:szCs w:val="21"/>
                <w:highlight w:val="none"/>
                <w:lang w:bidi="zh-CN"/>
              </w:rPr>
              <w:t>油罐在制造厂已进行压力试验并有压力试验合格报告．经现场外观检查罐体</w:t>
            </w:r>
            <w:r>
              <w:rPr>
                <w:rFonts w:hint="eastAsia" w:ascii="宋体" w:hAnsi="宋体" w:eastAsia="宋体" w:cs="宋体"/>
                <w:color w:val="auto"/>
                <w:sz w:val="21"/>
                <w:szCs w:val="21"/>
                <w:highlight w:val="none"/>
              </w:rPr>
              <w:t>无</w:t>
            </w:r>
            <w:r>
              <w:rPr>
                <w:rFonts w:hint="eastAsia" w:ascii="宋体" w:hAnsi="宋体" w:eastAsia="宋体" w:cs="宋体"/>
                <w:color w:val="auto"/>
                <w:sz w:val="21"/>
                <w:szCs w:val="21"/>
                <w:highlight w:val="none"/>
                <w:lang w:bidi="zh-CN"/>
              </w:rPr>
              <w:t>损伤，且双层油罐内外层之间的间隙持压符合本条第2款的要求时，施工现场可不进行压力试验。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 xml:space="preserve">4 </w:t>
            </w:r>
            <w:r>
              <w:rPr>
                <w:rFonts w:hint="eastAsia" w:ascii="宋体" w:hAnsi="宋体" w:eastAsia="宋体" w:cs="宋体"/>
                <w:color w:val="auto"/>
                <w:sz w:val="21"/>
                <w:szCs w:val="21"/>
                <w:highlight w:val="none"/>
                <w:lang w:bidi="zh-CN"/>
              </w:rPr>
              <w:t>橇装式加</w:t>
            </w:r>
            <w:r>
              <w:rPr>
                <w:rFonts w:hint="eastAsia" w:ascii="宋体" w:hAnsi="宋体" w:eastAsia="宋体" w:cs="宋体"/>
                <w:color w:val="auto"/>
                <w:sz w:val="21"/>
                <w:szCs w:val="21"/>
                <w:highlight w:val="none"/>
              </w:rPr>
              <w:t>油</w:t>
            </w:r>
            <w:r>
              <w:rPr>
                <w:rFonts w:hint="eastAsia" w:ascii="宋体" w:hAnsi="宋体" w:eastAsia="宋体" w:cs="宋体"/>
                <w:color w:val="auto"/>
                <w:sz w:val="21"/>
                <w:szCs w:val="21"/>
                <w:highlight w:val="none"/>
                <w:lang w:bidi="zh-CN"/>
              </w:rPr>
              <w:t>装置油绕的内罐的耐压试验应符合国家现行标准《压力容器第4部分：制造、检验和验收》GB/T150.4和《石油化工钢制压力容器》SH</w:t>
            </w:r>
            <w:r>
              <w:rPr>
                <w:rFonts w:hint="eastAsia" w:ascii="宋体" w:hAnsi="宋体" w:eastAsia="宋体" w:cs="宋体"/>
                <w:color w:val="auto"/>
                <w:sz w:val="21"/>
                <w:szCs w:val="21"/>
                <w:highlight w:val="none"/>
                <w:lang w:val="en-US" w:bidi="zh-CN"/>
              </w:rPr>
              <w:t>/</w:t>
            </w:r>
            <w:r>
              <w:rPr>
                <w:rFonts w:hint="eastAsia" w:ascii="宋体" w:hAnsi="宋体" w:eastAsia="宋体" w:cs="宋体"/>
                <w:color w:val="auto"/>
                <w:sz w:val="21"/>
                <w:szCs w:val="21"/>
                <w:highlight w:val="none"/>
                <w:lang w:bidi="zh-CN"/>
              </w:rPr>
              <w:t>T3074的有关规定；外罐压力试验应符合本条第1款～第3款的规定。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15.2.11 LPG储瞄、LNG储雒和CNG储气瓶安装前，应检查确认内部无水、油和焊渣等污物。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3.1.2.8</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材料设备的检查验收与装卸、运输、存放</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埋地</w:t>
            </w:r>
            <w:r>
              <w:rPr>
                <w:rFonts w:hint="eastAsia" w:ascii="宋体" w:hAnsi="宋体" w:eastAsia="宋体" w:cs="宋体"/>
                <w:color w:val="auto"/>
                <w:sz w:val="21"/>
                <w:szCs w:val="21"/>
                <w:highlight w:val="none"/>
              </w:rPr>
              <w:t>油</w:t>
            </w:r>
            <w:r>
              <w:rPr>
                <w:rFonts w:hint="eastAsia" w:ascii="宋体" w:hAnsi="宋体" w:eastAsia="宋体" w:cs="宋体"/>
                <w:color w:val="auto"/>
                <w:sz w:val="21"/>
                <w:szCs w:val="21"/>
                <w:highlight w:val="none"/>
                <w:lang w:bidi="zh-CN"/>
              </w:rPr>
              <w:t>罐的罐体质</w:t>
            </w:r>
            <w:r>
              <w:rPr>
                <w:rFonts w:hint="eastAsia" w:ascii="宋体" w:hAnsi="宋体" w:eastAsia="宋体" w:cs="宋体"/>
                <w:color w:val="auto"/>
                <w:sz w:val="21"/>
                <w:szCs w:val="21"/>
                <w:highlight w:val="none"/>
              </w:rPr>
              <w:t>量</w:t>
            </w:r>
            <w:r>
              <w:rPr>
                <w:rFonts w:hint="eastAsia" w:ascii="宋体" w:hAnsi="宋体" w:eastAsia="宋体" w:cs="宋体"/>
                <w:color w:val="auto"/>
                <w:sz w:val="21"/>
                <w:szCs w:val="21"/>
                <w:highlight w:val="none"/>
                <w:lang w:bidi="zh-CN"/>
              </w:rPr>
              <w:t>检验应符合相关标准要求。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《汽车加油加气加氢站技术标准》GB50156-202</w:t>
            </w:r>
            <w:r>
              <w:rPr>
                <w:rFonts w:hint="eastAsia" w:ascii="宋体" w:hAnsi="宋体" w:eastAsia="宋体" w:cs="宋体"/>
                <w:color w:val="auto"/>
                <w:sz w:val="21"/>
                <w:szCs w:val="21"/>
                <w:highlight w:val="none"/>
              </w:rPr>
              <w:t>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15</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bidi="zh-CN"/>
              </w:rPr>
              <w:t>2.1</w:t>
            </w:r>
            <w:r>
              <w:rPr>
                <w:rFonts w:hint="eastAsia" w:ascii="宋体" w:hAnsi="宋体" w:eastAsia="宋体" w:cs="宋体"/>
                <w:color w:val="auto"/>
                <w:sz w:val="21"/>
                <w:szCs w:val="21"/>
                <w:highlight w:val="none"/>
              </w:rPr>
              <w:t xml:space="preserve">4 </w:t>
            </w:r>
            <w:r>
              <w:rPr>
                <w:rFonts w:hint="eastAsia" w:ascii="宋体" w:hAnsi="宋体" w:eastAsia="宋体" w:cs="宋体"/>
                <w:color w:val="auto"/>
                <w:sz w:val="21"/>
                <w:szCs w:val="21"/>
                <w:highlight w:val="none"/>
                <w:lang w:bidi="zh-CN"/>
              </w:rPr>
              <w:t>埋地</w:t>
            </w:r>
            <w:r>
              <w:rPr>
                <w:rFonts w:hint="eastAsia" w:ascii="宋体" w:hAnsi="宋体" w:eastAsia="宋体" w:cs="宋体"/>
                <w:color w:val="auto"/>
                <w:sz w:val="21"/>
                <w:szCs w:val="21"/>
                <w:highlight w:val="none"/>
              </w:rPr>
              <w:t>油</w:t>
            </w:r>
            <w:r>
              <w:rPr>
                <w:rFonts w:hint="eastAsia" w:ascii="宋体" w:hAnsi="宋体" w:eastAsia="宋体" w:cs="宋体"/>
                <w:color w:val="auto"/>
                <w:sz w:val="21"/>
                <w:szCs w:val="21"/>
                <w:highlight w:val="none"/>
                <w:lang w:bidi="zh-CN"/>
              </w:rPr>
              <w:t>罐的罐体质</w:t>
            </w:r>
            <w:r>
              <w:rPr>
                <w:rFonts w:hint="eastAsia" w:ascii="宋体" w:hAnsi="宋体" w:eastAsia="宋体" w:cs="宋体"/>
                <w:color w:val="auto"/>
                <w:sz w:val="21"/>
                <w:szCs w:val="21"/>
                <w:highlight w:val="none"/>
              </w:rPr>
              <w:t>量</w:t>
            </w:r>
            <w:r>
              <w:rPr>
                <w:rFonts w:hint="eastAsia" w:ascii="宋体" w:hAnsi="宋体" w:eastAsia="宋体" w:cs="宋体"/>
                <w:color w:val="auto"/>
                <w:sz w:val="21"/>
                <w:szCs w:val="21"/>
                <w:highlight w:val="none"/>
                <w:lang w:bidi="zh-CN"/>
              </w:rPr>
              <w:t>检验应</w:t>
            </w:r>
            <w:r>
              <w:rPr>
                <w:rFonts w:hint="eastAsia" w:ascii="宋体" w:hAnsi="宋体" w:eastAsia="宋体" w:cs="宋体"/>
                <w:color w:val="auto"/>
                <w:sz w:val="21"/>
                <w:szCs w:val="21"/>
                <w:highlight w:val="none"/>
              </w:rPr>
              <w:t>在</w:t>
            </w:r>
            <w:r>
              <w:rPr>
                <w:rFonts w:hint="eastAsia" w:ascii="宋体" w:hAnsi="宋体" w:eastAsia="宋体" w:cs="宋体"/>
                <w:color w:val="auto"/>
                <w:sz w:val="21"/>
                <w:szCs w:val="21"/>
                <w:highlight w:val="none"/>
                <w:lang w:bidi="zh-CN"/>
              </w:rPr>
              <w:t>油罐就位前进行、并应有记录，质量检验</w:t>
            </w:r>
            <w:r>
              <w:rPr>
                <w:rFonts w:hint="eastAsia" w:ascii="宋体" w:hAnsi="宋体" w:eastAsia="宋体" w:cs="宋体"/>
                <w:color w:val="auto"/>
                <w:sz w:val="21"/>
                <w:szCs w:val="21"/>
                <w:highlight w:val="none"/>
                <w:lang w:val="zh-CN" w:bidi="zh-CN"/>
              </w:rPr>
              <w:t>应包括下列内容：</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rPr>
              <w:t xml:space="preserve">1 </w:t>
            </w:r>
            <w:r>
              <w:rPr>
                <w:rFonts w:hint="eastAsia" w:ascii="宋体" w:hAnsi="宋体" w:eastAsia="宋体" w:cs="宋体"/>
                <w:color w:val="auto"/>
                <w:sz w:val="21"/>
                <w:szCs w:val="21"/>
                <w:highlight w:val="none"/>
                <w:lang w:val="zh-CN"/>
              </w:rPr>
              <w:t>油罐直径、壁厚、公称容</w:t>
            </w:r>
            <w:r>
              <w:rPr>
                <w:rFonts w:hint="eastAsia" w:ascii="宋体" w:hAnsi="宋体" w:eastAsia="宋体" w:cs="宋体"/>
                <w:color w:val="auto"/>
                <w:sz w:val="21"/>
                <w:szCs w:val="21"/>
                <w:highlight w:val="none"/>
              </w:rPr>
              <w:t>量</w:t>
            </w:r>
            <w:r>
              <w:rPr>
                <w:rFonts w:hint="eastAsia" w:ascii="宋体" w:hAnsi="宋体" w:eastAsia="宋体" w:cs="宋体"/>
                <w:color w:val="auto"/>
                <w:sz w:val="21"/>
                <w:szCs w:val="21"/>
                <w:highlight w:val="none"/>
                <w:lang w:val="zh-CN"/>
              </w:rPr>
              <w:t>；</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rPr>
              <w:t xml:space="preserve">2 </w:t>
            </w:r>
            <w:r>
              <w:rPr>
                <w:rFonts w:hint="eastAsia" w:ascii="宋体" w:hAnsi="宋体" w:eastAsia="宋体" w:cs="宋体"/>
                <w:color w:val="auto"/>
                <w:sz w:val="21"/>
                <w:szCs w:val="21"/>
                <w:highlight w:val="none"/>
                <w:lang w:val="zh-CN"/>
              </w:rPr>
              <w:t>出厂日期和使用记录；</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rPr>
              <w:t xml:space="preserve">3 </w:t>
            </w:r>
            <w:r>
              <w:rPr>
                <w:rFonts w:hint="eastAsia" w:ascii="宋体" w:hAnsi="宋体" w:eastAsia="宋体" w:cs="宋体"/>
                <w:color w:val="auto"/>
                <w:sz w:val="21"/>
                <w:szCs w:val="21"/>
                <w:highlight w:val="none"/>
                <w:lang w:val="zh-CN"/>
              </w:rPr>
              <w:t>腐蚀情况及技术鉴定合格报告；</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4 </w:t>
            </w:r>
            <w:r>
              <w:rPr>
                <w:rFonts w:hint="eastAsia" w:ascii="宋体" w:hAnsi="宋体" w:eastAsia="宋体" w:cs="宋体"/>
                <w:color w:val="auto"/>
                <w:sz w:val="21"/>
                <w:szCs w:val="21"/>
                <w:highlight w:val="none"/>
                <w:lang w:val="zh-CN"/>
              </w:rPr>
              <w:t>压力试验合格报告。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3.1.3</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color w:val="auto"/>
                <w:spacing w:val="-6"/>
                <w:kern w:val="0"/>
                <w:sz w:val="21"/>
                <w:szCs w:val="21"/>
                <w:highlight w:val="none"/>
              </w:rPr>
            </w:pPr>
            <w:r>
              <w:rPr>
                <w:rFonts w:hint="eastAsia" w:ascii="宋体" w:hAnsi="宋体" w:eastAsia="宋体" w:cs="宋体"/>
                <w:b/>
                <w:bCs/>
                <w:color w:val="auto"/>
                <w:sz w:val="21"/>
                <w:szCs w:val="21"/>
                <w:highlight w:val="none"/>
              </w:rPr>
              <w:t>设备基础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3.1.3.1</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设备基础</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混凝土设备基础模板、钢筋和混凝土工程施工应符合相关标准要求。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GB50156-2021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15.3.6 混凝土设备基础模板、钢筋和混凝土工程施工除应符合现行行业标准《石油化工设备混凝土基础工程施工质量验收规范》SH/T3510的有关规定外，尚应符合下列规定；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拆除模板时基础混凝土达到的强度不应低于设计强度的40%。</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钢筋的混凝土保护层厚度允许偏差应为</w:t>
            </w:r>
            <w:r>
              <w:rPr>
                <w:rFonts w:hint="eastAsia" w:ascii="宋体" w:hAnsi="宋体" w:eastAsia="宋体" w:cs="宋体"/>
                <w:color w:val="auto"/>
                <w:sz w:val="21"/>
                <w:szCs w:val="21"/>
                <w:highlight w:val="none"/>
                <w:lang w:val="en-US" w:bidi="zh-CN"/>
              </w:rPr>
              <w:t>±</w:t>
            </w:r>
            <w:r>
              <w:rPr>
                <w:rFonts w:hint="eastAsia" w:ascii="宋体" w:hAnsi="宋体" w:eastAsia="宋体" w:cs="宋体"/>
                <w:color w:val="auto"/>
                <w:sz w:val="21"/>
                <w:szCs w:val="21"/>
                <w:highlight w:val="none"/>
                <w:lang w:bidi="zh-CN"/>
              </w:rPr>
              <w:t>10mm。</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设备基础的工程质量应符合下列规定：</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1）基础混凝土不得有裂缝、蜂窝、露筋等缺陷；</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2）础周围土方应夯实、整平；</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3）螺栓应无损坏、腐蚀，螺栓预留孔和预留洞中的积水、杂物应清理干净：</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4）设备基础应标出轴线和标高基础的允许偏差应符合表15.3.6的规定；</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5）由多个独立基础组成的设备基础各个基础</w:t>
            </w:r>
            <w:r>
              <w:rPr>
                <w:rFonts w:hint="eastAsia" w:ascii="宋体" w:hAnsi="宋体" w:eastAsia="宋体" w:cs="宋体"/>
                <w:color w:val="auto"/>
                <w:sz w:val="21"/>
                <w:szCs w:val="21"/>
                <w:highlight w:val="none"/>
                <w:lang w:val="en-US" w:bidi="zh-CN"/>
              </w:rPr>
              <w:t>间</w:t>
            </w:r>
            <w:r>
              <w:rPr>
                <w:rFonts w:hint="eastAsia" w:ascii="宋体" w:hAnsi="宋体" w:eastAsia="宋体" w:cs="宋体"/>
                <w:color w:val="auto"/>
                <w:sz w:val="21"/>
                <w:szCs w:val="21"/>
                <w:highlight w:val="none"/>
                <w:lang w:bidi="zh-CN"/>
              </w:rPr>
              <w:t>的轴线、标高等的允许偏差应按表15.3.6的规定检查。</w:t>
            </w:r>
          </w:p>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表15.3.6</w:t>
            </w:r>
            <w:r>
              <w:rPr>
                <w:rFonts w:hint="eastAsia" w:ascii="宋体" w:hAnsi="宋体" w:eastAsia="宋体" w:cs="宋体"/>
                <w:color w:val="auto"/>
                <w:sz w:val="21"/>
                <w:szCs w:val="21"/>
                <w:highlight w:val="none"/>
                <w:lang w:val="en-US" w:bidi="zh-CN"/>
              </w:rPr>
              <w:t xml:space="preserve"> </w:t>
            </w:r>
            <w:r>
              <w:rPr>
                <w:rFonts w:hint="eastAsia" w:ascii="宋体" w:hAnsi="宋体" w:eastAsia="宋体" w:cs="宋体"/>
                <w:color w:val="auto"/>
                <w:sz w:val="21"/>
                <w:szCs w:val="21"/>
                <w:highlight w:val="none"/>
                <w:lang w:bidi="zh-CN"/>
              </w:rPr>
              <w:t>块体式设备基础的允许偏差（mm）</w:t>
            </w:r>
          </w:p>
          <w:tbl>
            <w:tblPr>
              <w:tblStyle w:val="20"/>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52"/>
              <w:gridCol w:w="2433"/>
              <w:gridCol w:w="4175"/>
              <w:gridCol w:w="27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670"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项次</w:t>
                  </w:r>
                </w:p>
              </w:tc>
              <w:tc>
                <w:tcPr>
                  <w:tcW w:w="3050"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     目</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允许偏差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0"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3050"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轴线位置</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0"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p>
              </w:tc>
              <w:tc>
                <w:tcPr>
                  <w:tcW w:w="3050"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不同平面的标高（不计表面灌浆层厚度）</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0</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0"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p>
              </w:tc>
              <w:tc>
                <w:tcPr>
                  <w:tcW w:w="3050"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平面外形尺寸</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70"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p>
              </w:tc>
              <w:tc>
                <w:tcPr>
                  <w:tcW w:w="3050"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凸台上平面外形尺寸</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0</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0"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p>
              </w:tc>
              <w:tc>
                <w:tcPr>
                  <w:tcW w:w="3050"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凹穴平面尺寸</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0"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w:t>
                  </w:r>
                </w:p>
              </w:tc>
              <w:tc>
                <w:tcPr>
                  <w:tcW w:w="1123"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平面度</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包括地坪上需安装设备部分</w:t>
                  </w:r>
                  <w:r>
                    <w:rPr>
                      <w:rFonts w:hint="eastAsia" w:ascii="宋体" w:hAnsi="宋体" w:eastAsia="宋体" w:cs="宋体"/>
                      <w:color w:val="auto"/>
                      <w:sz w:val="21"/>
                      <w:szCs w:val="21"/>
                      <w:highlight w:val="none"/>
                      <w:lang w:eastAsia="zh-CN"/>
                    </w:rPr>
                    <w:t>）</w:t>
                  </w:r>
                </w:p>
              </w:tc>
              <w:tc>
                <w:tcPr>
                  <w:tcW w:w="1926"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每米</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0"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23"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926"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全长</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0"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w:t>
                  </w:r>
                </w:p>
              </w:tc>
              <w:tc>
                <w:tcPr>
                  <w:tcW w:w="1123"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侧面垂直度</w:t>
                  </w:r>
                </w:p>
              </w:tc>
              <w:tc>
                <w:tcPr>
                  <w:tcW w:w="1926"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每米</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0"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23"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926"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全高</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0"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w:t>
                  </w:r>
                </w:p>
              </w:tc>
              <w:tc>
                <w:tcPr>
                  <w:tcW w:w="1123"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预埋地脚螺栓</w:t>
                  </w:r>
                </w:p>
              </w:tc>
              <w:tc>
                <w:tcPr>
                  <w:tcW w:w="1926"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标高（顶端）</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0"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23"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926"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螺栓中心圆直径</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0"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23"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926"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中心距（在根部和顶部两处测量）</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0"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w:t>
                  </w:r>
                </w:p>
              </w:tc>
              <w:tc>
                <w:tcPr>
                  <w:tcW w:w="1123"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地脚螺栓预留孔</w:t>
                  </w:r>
                </w:p>
              </w:tc>
              <w:tc>
                <w:tcPr>
                  <w:tcW w:w="1926"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中心线位置</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8" w:hRule="atLeast"/>
                <w:jc w:val="center"/>
              </w:trPr>
              <w:tc>
                <w:tcPr>
                  <w:tcW w:w="670"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23"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926"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深度</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0"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23"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926"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孔中心线铅垂度</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0"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w:t>
                  </w:r>
                </w:p>
              </w:tc>
              <w:tc>
                <w:tcPr>
                  <w:tcW w:w="1123"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预埋件</w:t>
                  </w:r>
                </w:p>
              </w:tc>
              <w:tc>
                <w:tcPr>
                  <w:tcW w:w="1926"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标高（平面）</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0"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23"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926"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中心线位置</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70"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23"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926"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水平度</w:t>
                  </w:r>
                </w:p>
              </w:tc>
              <w:tc>
                <w:tcPr>
                  <w:tcW w:w="127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w:t>
                  </w:r>
                </w:p>
              </w:tc>
            </w:tr>
          </w:tbl>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4 基础交付设备安装时，混凝土强度不应低于设计强度的75%。</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5 当对设备基础有沉降扯要求时，应在找正、找平及底座二次灌浆完成并达到规定强度后．按下列程序进行沉降观测，应以基础均匀沉降且6d内累计沉降不大于12mm为合格：</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1）应设置观测基准点和液位观测标识；</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2）按设备容积的1/3分期注水．每期稳定时间不得少于12h；</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3）设备充满水后观测时间不得少于6d。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3.1.4</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color w:val="auto"/>
                <w:spacing w:val="-6"/>
                <w:kern w:val="0"/>
                <w:sz w:val="21"/>
                <w:szCs w:val="21"/>
                <w:highlight w:val="none"/>
              </w:rPr>
            </w:pPr>
            <w:r>
              <w:rPr>
                <w:rFonts w:hint="eastAsia" w:ascii="宋体" w:hAnsi="宋体" w:eastAsia="宋体" w:cs="宋体"/>
                <w:b/>
                <w:bCs/>
                <w:color w:val="auto"/>
                <w:sz w:val="21"/>
                <w:szCs w:val="21"/>
                <w:highlight w:val="none"/>
              </w:rPr>
              <w:t>工艺设备安装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3.1.4.1</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工艺设备安装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当基础交付安装时，安装单位应按相关标准要求进行检查、复测。</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《石油化工静设备安装工程施工质量验收规范》GB50461-2008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4.1.</w:t>
            </w:r>
            <w:r>
              <w:rPr>
                <w:rFonts w:hint="eastAsia" w:ascii="宋体" w:hAnsi="宋体" w:eastAsia="宋体" w:cs="宋体"/>
                <w:color w:val="auto"/>
                <w:sz w:val="21"/>
                <w:szCs w:val="21"/>
                <w:highlight w:val="none"/>
                <w:lang w:bidi="zh-CN"/>
              </w:rPr>
              <w:t>1</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lang w:bidi="zh-CN"/>
              </w:rPr>
              <w:t>当基础交付安装时，基础混凝土强度不得低于设计强度的75%。基础施工单位应提交测量记录及技术资料，安装单位应按本规范第</w:t>
            </w:r>
            <w:r>
              <w:rPr>
                <w:rFonts w:hint="eastAsia" w:ascii="宋体" w:hAnsi="宋体" w:eastAsia="宋体" w:cs="宋体"/>
                <w:color w:val="auto"/>
                <w:sz w:val="21"/>
                <w:szCs w:val="21"/>
                <w:highlight w:val="none"/>
              </w:rPr>
              <w:t>4.1.</w:t>
            </w:r>
            <w:r>
              <w:rPr>
                <w:rFonts w:hint="eastAsia" w:ascii="宋体" w:hAnsi="宋体" w:eastAsia="宋体" w:cs="宋体"/>
                <w:color w:val="auto"/>
                <w:sz w:val="21"/>
                <w:szCs w:val="21"/>
                <w:highlight w:val="none"/>
                <w:lang w:bidi="zh-CN"/>
              </w:rPr>
              <w:t>3条的要求进行相关数据的复测。</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 xml:space="preserve">4.1.2 </w:t>
            </w:r>
            <w:r>
              <w:rPr>
                <w:rFonts w:hint="eastAsia" w:ascii="宋体" w:hAnsi="宋体" w:eastAsia="宋体" w:cs="宋体"/>
                <w:color w:val="auto"/>
                <w:sz w:val="21"/>
                <w:szCs w:val="21"/>
                <w:highlight w:val="none"/>
                <w:lang w:bidi="zh-CN"/>
              </w:rPr>
              <w:t>基础施工单位应在交付的基础上画出标高基准线和纵、横中心线；有沉降观测要求的基础，应有沉降观测点。</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4.1.4 卧式设备滑动端基础预埋板的上表面应光滑平整，不得有挂渣、飞溅物。水平度为2mm/m。混凝土基础抹面不得高出预埋板的上表面。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3.1.4.2</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工艺设备安装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静设备的安装应符合</w:t>
            </w:r>
            <w:r>
              <w:rPr>
                <w:rFonts w:hint="eastAsia" w:ascii="宋体" w:hAnsi="宋体" w:eastAsia="宋体" w:cs="宋体"/>
                <w:color w:val="auto"/>
                <w:sz w:val="21"/>
                <w:szCs w:val="21"/>
                <w:highlight w:val="none"/>
              </w:rPr>
              <w:t>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《汽车加油加气加氢站技术标准》GB50156-2021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w:t>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bidi="zh-CN"/>
              </w:rPr>
              <w:t>.4.2 静设备的安装应符合现行国家标准《石油化工静设备安装工程施工质量验收规范》GB50461的有关规定。安装允许偏差应符合表13.4.2的规定。</w:t>
            </w:r>
          </w:p>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val="zh-CN" w:bidi="zh-CN"/>
              </w:rPr>
              <w:t>表1</w:t>
            </w:r>
            <w:r>
              <w:rPr>
                <w:rFonts w:hint="eastAsia" w:ascii="宋体" w:hAnsi="宋体" w:eastAsia="宋体" w:cs="宋体"/>
                <w:color w:val="auto"/>
                <w:sz w:val="21"/>
                <w:szCs w:val="21"/>
                <w:highlight w:val="none"/>
                <w:lang w:bidi="zh-CN"/>
              </w:rPr>
              <w:t>5</w:t>
            </w:r>
            <w:r>
              <w:rPr>
                <w:rFonts w:hint="eastAsia" w:ascii="宋体" w:hAnsi="宋体" w:eastAsia="宋体" w:cs="宋体"/>
                <w:color w:val="auto"/>
                <w:sz w:val="21"/>
                <w:szCs w:val="21"/>
                <w:highlight w:val="none"/>
                <w:lang w:val="zh-CN" w:bidi="zh-CN"/>
              </w:rPr>
              <w:t>.4.2  设备安装允许偏差（mm）</w:t>
            </w:r>
          </w:p>
          <w:tbl>
            <w:tblPr>
              <w:tblStyle w:val="2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39"/>
              <w:gridCol w:w="3134"/>
              <w:gridCol w:w="46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50"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val="zh-CN" w:bidi="zh-CN"/>
                    </w:rPr>
                    <w:t>检查项目</w:t>
                  </w:r>
                </w:p>
              </w:tc>
              <w:tc>
                <w:tcPr>
                  <w:tcW w:w="214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val="zh-CN" w:bidi="zh-CN"/>
                    </w:rPr>
                    <w:t>偏差值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50"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val="zh-CN" w:bidi="zh-CN"/>
                    </w:rPr>
                    <w:t>中心线位置</w:t>
                  </w:r>
                </w:p>
              </w:tc>
              <w:tc>
                <w:tcPr>
                  <w:tcW w:w="214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val="zh-CN" w:bidi="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50"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val="zh-CN" w:bidi="zh-CN"/>
                    </w:rPr>
                    <w:t>标高</w:t>
                  </w:r>
                </w:p>
              </w:tc>
              <w:tc>
                <w:tcPr>
                  <w:tcW w:w="214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val="zh-CN" w:bidi="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03"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val="zh-CN" w:bidi="zh-CN"/>
                    </w:rPr>
                    <w:t>储罐水平度</w:t>
                  </w:r>
                </w:p>
              </w:tc>
              <w:tc>
                <w:tcPr>
                  <w:tcW w:w="144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val="zh-CN" w:bidi="zh-CN"/>
                    </w:rPr>
                    <w:t>轴向</w:t>
                  </w:r>
                </w:p>
              </w:tc>
              <w:tc>
                <w:tcPr>
                  <w:tcW w:w="214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val="zh-CN" w:bidi="zh-CN"/>
                    </w:rPr>
                    <w:t>L/1000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03"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p>
              </w:tc>
              <w:tc>
                <w:tcPr>
                  <w:tcW w:w="144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val="zh-CN" w:bidi="zh-CN"/>
                    </w:rPr>
                    <w:t>径向</w:t>
                  </w:r>
                </w:p>
              </w:tc>
              <w:tc>
                <w:tcPr>
                  <w:tcW w:w="214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val="zh-CN" w:bidi="zh-CN"/>
                    </w:rPr>
                    <w:t>2D/1000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850"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val="zh-CN" w:bidi="zh-CN"/>
                    </w:rPr>
                    <w:t>塔器垂直度</w:t>
                  </w:r>
                </w:p>
              </w:tc>
              <w:tc>
                <w:tcPr>
                  <w:tcW w:w="214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val="zh-CN" w:bidi="zh-CN"/>
                    </w:rPr>
                    <w:t>H/1000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850"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val="zh-CN" w:bidi="zh-CN"/>
                    </w:rPr>
                    <w:t>塔器方位（沿底座环圆周测量）</w:t>
                  </w:r>
                </w:p>
              </w:tc>
              <w:tc>
                <w:tcPr>
                  <w:tcW w:w="214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val="zh-CN" w:bidi="zh-CN"/>
                    </w:rPr>
                    <w:t>10</w:t>
                  </w:r>
                </w:p>
              </w:tc>
            </w:tr>
          </w:tbl>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15.4.3 油罐安装就位后，应按本标准第15.3.6条第5款的规定进行注水沉降。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15.4.4</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lang w:bidi="zh-CN"/>
              </w:rPr>
              <w:t>静设备封孔前应清除内部的泥沙和杂物，并应经建设或监理单位代表检查确认后再封闭。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3.1.4.3</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工艺设备安装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地脚螺栓的埋设应符合相关标准要求。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《石油化工静设备安装工程施工质量验收规范》GB50461-2008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4.2.1 地脚螺栓的螺纹应无损坏、无锈蚀，且应有保护措施。</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4.2.2 预留孔地脚螺栓的埋设应符合以下规定：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地脚螺栓在预留孔中应垂直。</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地脚螺栓任一部位与孔壁的距离不应小于15mm，与孔底的距离应大于50mm。</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4.2.3 预留孔中的混凝土达到设计强度后，方可拧紧地脚螺栓。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4.2.4 地脚螺栓的螺母和垫圈齐全，锁紧螺母与螺母、螺母与垫圈、垫圈与设备底座间的接触应良好。紧固后螺纹露出螺母不应少于2个螺距。螺纹外露部分应涂防锈脂。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3.1.4.4</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工艺设备安装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设备</w:t>
            </w:r>
            <w:r>
              <w:rPr>
                <w:rFonts w:hint="eastAsia" w:ascii="宋体" w:hAnsi="宋体" w:eastAsia="宋体" w:cs="宋体"/>
                <w:color w:val="auto"/>
                <w:sz w:val="21"/>
                <w:szCs w:val="21"/>
                <w:highlight w:val="none"/>
                <w:lang w:eastAsia="zh-CN"/>
              </w:rPr>
              <w:t>采用</w:t>
            </w:r>
            <w:r>
              <w:rPr>
                <w:rFonts w:hint="eastAsia" w:ascii="宋体" w:hAnsi="宋体" w:eastAsia="宋体" w:cs="宋体"/>
                <w:color w:val="auto"/>
                <w:sz w:val="21"/>
                <w:szCs w:val="21"/>
                <w:highlight w:val="none"/>
              </w:rPr>
              <w:t>垫铁组找正、找平时，垫铁的选用和设置应符合相关标准要求。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《石油化工静设备安装工程施工质量验收规范》GB50461-2008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4.3.1 设备</w:t>
            </w:r>
            <w:r>
              <w:rPr>
                <w:rFonts w:hint="eastAsia" w:ascii="宋体" w:hAnsi="宋体" w:eastAsia="宋体" w:cs="宋体"/>
                <w:color w:val="auto"/>
                <w:sz w:val="21"/>
                <w:szCs w:val="21"/>
                <w:highlight w:val="none"/>
                <w:lang w:eastAsia="zh-CN"/>
              </w:rPr>
              <w:t>采用</w:t>
            </w:r>
            <w:r>
              <w:rPr>
                <w:rFonts w:hint="eastAsia" w:ascii="宋体" w:hAnsi="宋体" w:eastAsia="宋体" w:cs="宋体"/>
                <w:color w:val="auto"/>
                <w:sz w:val="21"/>
                <w:szCs w:val="21"/>
                <w:highlight w:val="none"/>
              </w:rPr>
              <w:t>垫铁组找正、找平时，垫铁规格宜按本规范附录A选用，并按下列规定设置垫铁组：</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裙式支座每个地脚螺栓近旁应至少设置1组垫铁；鞍式支座、耳式支座每个地脚螺栓应对称设置2组垫铁；球形储罐支柱式支座，每个地脚螺栓近旁应对称设置2组垫铁；其他支柱式支座每个地脚螺栓近旁宜放置1组垫铁。</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有加强筋的设备支座，垫铁应垫在加强筋下。</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相邻两垫铁组的中心距不应大于500mm。</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垫铁组高度宜为30〜80mm。</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4.3.2 设备找正后，各组垫铁均应被压紧，垫铁之间和垫铁与支 座之间应均匀接触，垫铁应露出设备支座底板外缘10〜30mm，垫铁组伸入支座底板长度应超过地脚螺栓。垫铁组层间应进行焊接固定。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4.3.3 支柱式设备每组垫铁的块数不应超过3块，其他设备每组垫铁的块数不应超过5块；斜垫铁下面应有平垫铁，放置平垫铁时，最厚的放在下面，薄的放在中间；斜垫铁应成对相向使用，搭接长度不应小于全长的3/4。</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4.3.4 焊后进行整体热处理的球形储罐，在支柱底板与垫铁组之间应设置滑动底板。</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4.3.5 安装在钢构架基础上的设备找正后，其垫铁与钢构架基础应焊牢。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3.1.4.5</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工艺设备安装</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设备安装质量应符合相关标准要求。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《石油化工静设备安装工程施工质量验收规范》GB50461-2008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4.4.1 立式设备安装质量应符合表4.4.1的规定。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4.4.2 分段法兰连接的立式设备，组装时筒体法兰密封面应清理干净。组装成整体后筒体的直线度应符合本规范表5.2.9-3的规定，安装质量应符合本规范表4.4.1的规定。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4.4.3 卧式设备安装质量应符合表4.4.3的规定</w:t>
            </w:r>
            <w:r>
              <w:rPr>
                <w:rFonts w:hint="eastAsia" w:ascii="宋体" w:hAnsi="宋体" w:eastAsia="宋体" w:cs="宋体"/>
                <w:color w:val="auto"/>
                <w:sz w:val="21"/>
                <w:szCs w:val="21"/>
                <w:highlight w:val="none"/>
                <w:lang w:eastAsia="zh-CN"/>
              </w:rPr>
              <w:t>。</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4.4.4 卧式设备滑动</w:t>
            </w:r>
            <w:r>
              <w:rPr>
                <w:rFonts w:hint="eastAsia" w:ascii="宋体" w:hAnsi="宋体" w:eastAsia="宋体" w:cs="宋体"/>
                <w:color w:val="auto"/>
                <w:sz w:val="21"/>
                <w:szCs w:val="21"/>
                <w:highlight w:val="none"/>
                <w:lang w:eastAsia="zh-CN"/>
              </w:rPr>
              <w:t>端的</w:t>
            </w:r>
            <w:r>
              <w:rPr>
                <w:rFonts w:hint="eastAsia" w:ascii="宋体" w:hAnsi="宋体" w:eastAsia="宋体" w:cs="宋体"/>
                <w:color w:val="auto"/>
                <w:sz w:val="21"/>
                <w:szCs w:val="21"/>
                <w:highlight w:val="none"/>
              </w:rPr>
              <w:t>脚螺栓宜处于支座长圆孔的中间，位置偏差应偏向补偿温度变化所引起的伸缩方向；支座滑动表面清理干净，并涂润滑剂；设备配管结束后，松动滑动端支座地脚螺栓螺母，使其与支座板面间留有1〜3mm间隙，并紧固锁紧螺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4.4.5 直连式设备安装应按制造厂的标识进行组装，其安装质量应符合本规范表4.4.3的规定。设备支座间的调整垫板应焊在下层设备的支座上。</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4.4.6 套管式换热器安装应保证整体水平，其安装质量应符合本规范表4.4.3的规定。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4.4.7 板片式换热器上、下导杆滑动表面和夹紧螺杆表面应清洗干净，并涂润滑脂。压紧板上的滚动轴承应清洁、转动灵活，并加润滑脂；在防爆环境中，应加防爆润滑脂。</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夹紧螺杆安装应交错对称均匀拧紧，管片侧面板边端处应平齐，压紧板安装后平行度应符合下列要求：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压紧板夹紧尺寸小于1000mm时为2mm。</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 压紧板夹紧尺寸大于或等于1000mm时为4mm</w:t>
            </w:r>
            <w:r>
              <w:rPr>
                <w:rFonts w:hint="eastAsia" w:ascii="宋体" w:hAnsi="宋体" w:eastAsia="宋体" w:cs="宋体"/>
                <w:color w:val="auto"/>
                <w:sz w:val="21"/>
                <w:szCs w:val="21"/>
                <w:highlight w:val="none"/>
                <w:lang w:eastAsia="zh-CN"/>
              </w:rPr>
              <w:t>。</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4.4.8 空冷式换热器安装后应松开管箱与侧梁连接的滑动螺栓。空冷式换热器管束安装质量应符合表4.4.8的规定。空冷式换热器构架施工质量应符合本规范附录B的有关规定。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4.4.9 球形储罐安装质量应符合表4.4.9的规定。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4.4.10 带有膨胀节的设备，其膨胀节外部壳体上固定板或固定螺栓在系统冲洗吹扫后方可拆除或松开。</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4.4.11 设计文件要求热态、冷态紧固且设计文件无规定时，螺栓热态紧固或冷态紧固应符合下列规定：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紧固作业温度及次数应符合表4.4.11的规定。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螺栓热态紧固或冷态紧固应在保持操作温度24h后进行。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紧固时设备最大内压力应符合下列规定：</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1）设计压力小于或等于6MPa时，热态紧固最大内压力为0</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3MPa</w:t>
            </w:r>
            <w:r>
              <w:rPr>
                <w:rFonts w:hint="eastAsia" w:ascii="宋体" w:hAnsi="宋体" w:eastAsia="宋体" w:cs="宋体"/>
                <w:color w:val="auto"/>
                <w:sz w:val="21"/>
                <w:szCs w:val="21"/>
                <w:highlight w:val="none"/>
                <w:lang w:eastAsia="zh-CN"/>
              </w:rPr>
              <w:t>。</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2）设计压力大于6MPa时，热态紧固最大内压力为5MPa</w:t>
            </w:r>
            <w:r>
              <w:rPr>
                <w:rFonts w:hint="eastAsia" w:ascii="宋体" w:hAnsi="宋体" w:eastAsia="宋体" w:cs="宋体"/>
                <w:color w:val="auto"/>
                <w:sz w:val="21"/>
                <w:szCs w:val="21"/>
                <w:highlight w:val="none"/>
                <w:lang w:eastAsia="zh-CN"/>
              </w:rPr>
              <w:t>。</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3）冷态紧固应卸压。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kern w:val="2"/>
                <w:sz w:val="21"/>
                <w:szCs w:val="21"/>
                <w:highlight w:val="none"/>
                <w:lang w:val="en-US" w:eastAsia="zh-CN" w:bidi="zh-CN"/>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kern w:val="2"/>
                <w:sz w:val="21"/>
                <w:szCs w:val="21"/>
                <w:highlight w:val="none"/>
                <w:lang w:val="en-US" w:eastAsia="zh-CN" w:bidi="zh-CN"/>
              </w:rPr>
            </w:pPr>
            <w:r>
              <w:rPr>
                <w:rFonts w:hint="eastAsia" w:ascii="宋体" w:hAnsi="宋体" w:eastAsia="宋体" w:cs="宋体"/>
                <w:color w:val="auto"/>
                <w:sz w:val="21"/>
                <w:szCs w:val="21"/>
                <w:highlight w:val="none"/>
                <w:lang w:bidi="zh-CN"/>
              </w:rPr>
              <w:t>《燃气工程项目规范》GB55009-2021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kern w:val="2"/>
                <w:sz w:val="21"/>
                <w:szCs w:val="21"/>
                <w:highlight w:val="none"/>
                <w:lang w:val="en-US" w:eastAsia="zh-CN" w:bidi="zh-CN"/>
              </w:rPr>
            </w:pPr>
            <w:r>
              <w:rPr>
                <w:rFonts w:hint="eastAsia" w:ascii="宋体" w:hAnsi="宋体" w:eastAsia="宋体" w:cs="宋体"/>
                <w:color w:val="auto"/>
                <w:sz w:val="21"/>
                <w:szCs w:val="21"/>
                <w:highlight w:val="none"/>
                <w:lang w:bidi="zh-CN"/>
              </w:rPr>
              <w:t>4.2.3</w:t>
            </w:r>
            <w:r>
              <w:rPr>
                <w:rFonts w:hint="eastAsia" w:ascii="宋体" w:hAnsi="宋体" w:eastAsia="宋体" w:cs="宋体"/>
                <w:color w:val="auto"/>
                <w:sz w:val="21"/>
                <w:szCs w:val="21"/>
                <w:highlight w:val="none"/>
                <w:lang w:val="en-US" w:eastAsia="zh-CN" w:bidi="zh-CN"/>
              </w:rPr>
              <w:t xml:space="preserve"> </w:t>
            </w:r>
            <w:r>
              <w:rPr>
                <w:rFonts w:hint="eastAsia" w:ascii="宋体" w:hAnsi="宋体" w:eastAsia="宋体" w:cs="宋体"/>
                <w:color w:val="auto"/>
                <w:sz w:val="21"/>
                <w:szCs w:val="21"/>
                <w:highlight w:val="none"/>
                <w:lang w:bidi="zh-CN"/>
              </w:rPr>
              <w:t>设备、管道及附件的连接采用焊接时，焊接后的焊口强度不应低于母材强度。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3.1.4.6</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工艺设备安装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地脚螺栓预留孔或二次灌浆层灌浆应符合相关标准要求。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《石油化工静设备安装工程施工质量验收规范》GB50461-2008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4.5.1 灌浆前应用水将基础表面冲洗干净，保持湿润不应少于24h。地脚螺栓孔灌浆前1h应吸干积水，清除预留孔中的杂物，二次灌浆应在设备找正、找平、隐蔽工程检验合格后进行。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4.5.2 </w:t>
            </w:r>
            <w:r>
              <w:rPr>
                <w:rFonts w:hint="eastAsia" w:ascii="宋体" w:hAnsi="宋体" w:eastAsia="宋体" w:cs="宋体"/>
                <w:color w:val="auto"/>
                <w:sz w:val="21"/>
                <w:szCs w:val="21"/>
                <w:highlight w:val="none"/>
                <w:lang w:eastAsia="zh-CN"/>
              </w:rPr>
              <w:t>采用</w:t>
            </w:r>
            <w:r>
              <w:rPr>
                <w:rFonts w:hint="eastAsia" w:ascii="宋体" w:hAnsi="宋体" w:eastAsia="宋体" w:cs="宋体"/>
                <w:color w:val="auto"/>
                <w:sz w:val="21"/>
                <w:szCs w:val="21"/>
                <w:highlight w:val="none"/>
              </w:rPr>
              <w:t>垫铁安装的设备二次灌浆材料宜</w:t>
            </w:r>
            <w:r>
              <w:rPr>
                <w:rFonts w:hint="eastAsia" w:ascii="宋体" w:hAnsi="宋体" w:eastAsia="宋体" w:cs="宋体"/>
                <w:color w:val="auto"/>
                <w:sz w:val="21"/>
                <w:szCs w:val="21"/>
                <w:highlight w:val="none"/>
                <w:lang w:eastAsia="zh-CN"/>
              </w:rPr>
              <w:t>采用</w:t>
            </w:r>
            <w:r>
              <w:rPr>
                <w:rFonts w:hint="eastAsia" w:ascii="宋体" w:hAnsi="宋体" w:eastAsia="宋体" w:cs="宋体"/>
                <w:color w:val="auto"/>
                <w:sz w:val="21"/>
                <w:szCs w:val="21"/>
                <w:highlight w:val="none"/>
              </w:rPr>
              <w:t>细石混凝土，其强度等级应比基础混凝土强度等级高一级。无垫铁安装的设备二次灌浆材料应</w:t>
            </w:r>
            <w:r>
              <w:rPr>
                <w:rFonts w:hint="eastAsia" w:ascii="宋体" w:hAnsi="宋体" w:eastAsia="宋体" w:cs="宋体"/>
                <w:color w:val="auto"/>
                <w:sz w:val="21"/>
                <w:szCs w:val="21"/>
                <w:highlight w:val="none"/>
                <w:lang w:eastAsia="zh-CN"/>
              </w:rPr>
              <w:t>采用</w:t>
            </w:r>
            <w:r>
              <w:rPr>
                <w:rFonts w:hint="eastAsia" w:ascii="宋体" w:hAnsi="宋体" w:eastAsia="宋体" w:cs="宋体"/>
                <w:color w:val="auto"/>
                <w:sz w:val="21"/>
                <w:szCs w:val="21"/>
                <w:highlight w:val="none"/>
              </w:rPr>
              <w:t>微胀混凝土，并制作同条件试块。</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4.5.3 地脚螺栓预留孔或二次灌浆层灌浆应一次完成。立式设备裙座内部灌浆面应与底座环上表面平齐。设备支座底板外缘的灌浆层应压实抹光，上表面应略有向外的坡度，高度应略低于设备支座底板边缘的上表面。</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4.5.4 无垫铁安装的二次灌浆层达到设计强度的75%以上时</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方可松开顶丝或取出临时支撑件，并复测设备水平度，检查地脚螺栓的紧固程度，将支撑件的空隙用与二次灌浆同样的灌浆料填实。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3.1.4.7</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工艺设备安装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塔类设备内件的复验及安装质量应符合相关标准要求。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《石油化工静设备安装工程施工质量验收规范》GB50461-2008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4.6.1 设备内件安装前应清除表面油污、焊渣、铁锈、泥沙、毛刺等杂物。设备内部应清扫干净。</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4.6.2 塔类设备内件的复验及安装质量应符合本规范附录C的有关规定。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3.1.4.8</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工艺设备安装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平台、梯子安装质量应符合相关标准要求。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《石油化工静设备安装工程施工质量验收规范》GB50461-2008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4.8.1 焊接要求预热的设备，与其相焊的平台、梯子连接件焊前应按设备焊接工艺要求进行预热</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4.8.2 焊后进行热处理的设备，与其相焊的平台、梯子的连接件应在热处理之前焊接完。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3.1.4.9</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工艺设备安装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设备清洗或清理（包括酸洗、钝化等）应符合相关标准要求。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《石油化工静设备安装工程施工质量验收规范》GB50461-2008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4.9.1 设备酸洗、钝化处理后质量检验方法和合格标准应符合下述规定：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酸洗和钝化并用水冲洗后，用0</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01%甲基橙精溶液滴于设备酸洗钝化后的表面，以不出现红色为合格。</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钝化膜的检验在同条件下进行表面处理的试板上进行，将赤血盐10g溶于500mL水中，加10mL浓硫酸和20mL浓盐酸，稀释至1000mL作为试液滴于被清洗的表面，0.5〜1min内不出现深蓝色为合格。</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4.9.2 奥氏体不锈钢设备水冲洗用水的氯离子含量不应超过25mg/L。</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4.9.4 铝和铝合金制设备化学清洗后不得有水迹或碱迹。</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4.9.6 设备封闭前内部应进行清理，不得有附着物及杂物。</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4.9.7 设备清洗或清理合格后应进行封闭。充氮保护的设备，氮气压力不应小于0.02MPa。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3.1.4.10</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工艺设备安装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CNG储气井和氢气储气井的建造应符合相关标准要求。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《汽车加油加气加氢站技术标准》GB50156-2021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15.4.6 CNG储气井和氢气储气井的建造除应符合现行行业标准《储气井工程技术规范》SH/T3216的有关规定外，尚应符合下列规定：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储气井井简与地层之间的环形空隙应用硅酸盐水泥全井段填充，固井水泥浆应返出地面，且填充水泥浆的体积不应小于空隙的理论计算体积，密度不应小于1650kg /mR；</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储气井应根据所处环境条件进行防腐蚀设计及处理；</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储气井组宜在井口装置下端面至地下埋深不小于1.5m，以井口中心点为中心且半径不小于1.0m的范围内采用C30钢筋混凝土进行加强固定；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储气井的钻井和固井施工应由工程监理单位进行过程监理，并应取得“工程质量评估报告”；</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储气井地上部分的建造，检验和验收尚应符合现行行业标准《钢制压力容器——分析设计标准》JB4732的有关规定。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3.1.4.11</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工艺设备安装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压缩机与泵的安装应符合相关标准要求。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《汽车加油加气加氢站技术标准》GB50156-2021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15.4.10 压缩机与泵的安装应符合现行国家标准《风机、压缩机、泵安装工程施工及验收规范》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50275</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有关规定。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15.4.11 压缩机在负荷试运转中应进行下列各项检查和记录∶</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润滑油的压力、温度和各部位的供油情况；</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各级吸、排气的温度和压力；</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各级进、排水的温度、压力和冷却水的供应情况；</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各级吸、排气阀的工作应无异常现象；</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运动部件无异常响声</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 连接部位无漏气、漏油或漏水现象；</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 连接部位无松动现象；</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 气量调节装置灵敏；</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 主轴承、滑道、填函等主要摩擦部位的温度；</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 电动机的电流、电压、温升；</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 自动控制装置应灵敏、可靠。</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15.4.12 压缩机进行模拟负荷试运转后，应采用悄性气体对工艺系统进行整体置换。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3.1.5</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工艺管道安装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3.1.5.1</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工艺管道安装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管沟开挖应符合相关标准要求。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《石油天然气建设工程施工质量验收规范站内工艺管道工程》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4203-2019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8.1.1 管沟开挖前，应对地下的构筑物、电缆、管道等障碍物进行定位，在开挖过程中应采取保护措施。</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8.1.2 测量放线应按设计文件要求进行，并应按管道水平中心线及管沟上口宽度，打好开挖管沟的边线桩，并应标出开挖深度，用消石灰标出管沟的边界线。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3.1.5.2</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工艺管道安装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管道下沟应符合相关标准要求。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《石油天然气建设工程施工质量验收规范站内工艺管道工程》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4203-2019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9.1.1 管道下沟前应符合下列要求：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沟内应无塌方、硬土（石）块和积水，岩石沟底，应用砂或细土铺垫。</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管沟尺寸复测应符合设计文件要求。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管道防腐层应经电火花检漏仪检查，检测电压应符合设计文件规定。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9.1.2 管沟回填前应符合下列要求：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管道焊缝应经无损检测合格。</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外防腐绝缘层检漏应合格。</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隐蔽工程验收应合格。</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9.2.1 管顶以上300mm内应采用人工回填；回填土应分层夯实，每层200mm-300mm，夯实后的土壤密实度应符合设计文件要求和现行国家标准《石油天然气站内工艺管道工程施工规范》GB50540的要求。</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9.2.2 石方段管沟回填应符合设计文件要求；设计无要求时，管道周围300mm范围内应采用细土回填。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3.1.5.3</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工艺管道安装</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工艺管道安装应符合相关标准要求。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《汽车加油加气加氢站技术标准》GB50156-2021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15.5.1 与储罐连接的管道应在储罐安装就位并经注水或承重沉降试验稳定后进行安装。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《石油天然气建设工程施工质量验收规范站内工艺管道工程》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4203-2019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bidi="zh-CN"/>
              </w:rPr>
              <w:t>.1.1 钢管下料和管件加工应符合单线图规定。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4.1.2 钢管下料和管件加工应在预制平台上进行，平台尺寸应大于管道预制件的最大尺寸。</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5.1.1 管道安装前，应对埋地管道与埋地电缆、给排水管道、地下设施与建筑物预留孔洞位置及基础坐标等进行校对。</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5.1.4 管子、管件、阀门等内部应清理干净，无污物与杂物。安装工作有间断时，应及时封堵管口或阀门出入口。</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5.1.5 不宜在管道焊缝位置开孔，且应避开焊缝热影响区。当不可避免时，应对开孔处开孔直径1.5倍范围内进行补强，补强板覆盖的焊缝应磨平。</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6.1.1 管道组对应按单线图规定的管道系统号和顺序号进行。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6.1.2 焊件组对前应将坡口及其内外侧表面不小于10mm范围内的油、漆、垢、锈、毛刺及锁锌层等清除干净，且不应有裂纹、夹层等缺陷。</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6.1.3 直缝管的纵向焊缝应置于易检修的部位，且不宜在底部。</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strike/>
                <w:color w:val="auto"/>
                <w:sz w:val="21"/>
                <w:szCs w:val="21"/>
                <w:highlight w:val="none"/>
              </w:rPr>
            </w:pPr>
            <w:r>
              <w:rPr>
                <w:rFonts w:hint="eastAsia" w:ascii="宋体" w:hAnsi="宋体" w:eastAsia="宋体" w:cs="宋体"/>
                <w:color w:val="auto"/>
                <w:sz w:val="21"/>
                <w:szCs w:val="21"/>
                <w:highlight w:val="none"/>
                <w:lang w:bidi="zh-CN"/>
              </w:rPr>
              <w:t>6.1.4钢管组对时，制管焊缝之间距离应错开100mm以上。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3.1.5.4</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工艺管道安装</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工艺管道的焊接应符合相关标准要求。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《石油天然气建设工程施工质量验收规范站内工艺管道工程》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4203-2019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7.1.1 管道焊接应符合相应的焊接工艺规程。</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7.1.2 应对每个机组或每个焊工进行焊缝抽查。</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7.2.1 焊接工艺规程应具有有效性和适用性。</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7.2.2 焊材应符合焊接工艺规程的规定。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7.2.3 管道焊缝无损检测应符合设计文件要求和规范规定。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《工业金属管道工程施工质量验收规范》</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sz w:val="21"/>
                <w:szCs w:val="21"/>
                <w:highlight w:val="none"/>
              </w:rPr>
            </w:pPr>
            <w:r>
              <w:rPr>
                <w:rFonts w:hint="eastAsia" w:ascii="宋体" w:hAnsi="宋体" w:eastAsia="宋体" w:cs="宋体"/>
                <w:color w:val="auto"/>
                <w:sz w:val="21"/>
                <w:szCs w:val="21"/>
                <w:highlight w:val="none"/>
              </w:rPr>
              <w:t>GB50184-2011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6.0.1</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管道及管道组成件的焊接和焊后热处理的质量应符合国家现行标准《现场设备、工业管道焊接工程施工质量验收规范》GB50683-2011的规定。</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检验数量：应符合国家现行有关标准和设计文件的规定。</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检验方法：观察检查、检查焊接检查记录或无损检测报告。</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6.0.3</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平焊法兰、承插焊法兰或承插焊管件与管子角焊缝的焊脚尺寸，应符合设计文件的规定，并应符合下列规定：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1 </w:t>
            </w:r>
            <w:r>
              <w:rPr>
                <w:rFonts w:hint="eastAsia" w:ascii="宋体" w:hAnsi="宋体" w:eastAsia="宋体" w:cs="宋体"/>
                <w:color w:val="auto"/>
                <w:sz w:val="21"/>
                <w:szCs w:val="21"/>
                <w:highlight w:val="none"/>
              </w:rPr>
              <w:t>平焊法兰与管子焊接时，其法兰内侧角焊缝的焊脚尺寸应为直管名义厚度与6mm两者中的较小值；法兰外侧角焊缝的最小焊脚尺寸应为直管名义厚度的1.4倍与法兰颈部厚度两者中的较小值。</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2 </w:t>
            </w:r>
            <w:r>
              <w:rPr>
                <w:rFonts w:hint="eastAsia" w:ascii="宋体" w:hAnsi="宋体" w:eastAsia="宋体" w:cs="宋体"/>
                <w:color w:val="auto"/>
                <w:sz w:val="21"/>
                <w:szCs w:val="21"/>
                <w:highlight w:val="none"/>
              </w:rPr>
              <w:t>承插焊法兰与管子焊接时，角焊缝的最小焊脚尺寸应为直管名义厚度的1.4倍与法兰颈部厚度两者中的较小值。</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3 </w:t>
            </w:r>
            <w:r>
              <w:rPr>
                <w:rFonts w:hint="eastAsia" w:ascii="宋体" w:hAnsi="宋体" w:eastAsia="宋体" w:cs="宋体"/>
                <w:color w:val="auto"/>
                <w:sz w:val="21"/>
                <w:szCs w:val="21"/>
                <w:highlight w:val="none"/>
              </w:rPr>
              <w:t>承插焊管件与管子焊接时，角焊缝的最小焊脚尺寸应为直管名义厚度的1.25倍，且不应小于3mm。</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检验数量：全部检查，每个法兰（管件）不少于3处。</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检验方法：采用检查尺检查。</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6.0.4</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支管连接角焊缝的形式和厚度应符合下列规定：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1 </w:t>
            </w:r>
            <w:r>
              <w:rPr>
                <w:rFonts w:hint="eastAsia" w:ascii="宋体" w:hAnsi="宋体" w:eastAsia="宋体" w:cs="宋体"/>
                <w:color w:val="auto"/>
                <w:sz w:val="21"/>
                <w:szCs w:val="21"/>
                <w:highlight w:val="none"/>
              </w:rPr>
              <w:t>安放式焊接支管或插入式焊接支管的接头、整体补强的支管座，应全焊透，角焊缝厚度不应小于填角焊缝有效厚度。</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2 </w:t>
            </w:r>
            <w:r>
              <w:rPr>
                <w:rFonts w:hint="eastAsia" w:ascii="宋体" w:hAnsi="宋体" w:eastAsia="宋体" w:cs="宋体"/>
                <w:color w:val="auto"/>
                <w:sz w:val="21"/>
                <w:szCs w:val="21"/>
                <w:highlight w:val="none"/>
              </w:rPr>
              <w:t>补强圈或鞍形补强件的焊接质量应符合下列规定：</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1）补强圈与支管应全焊透，角焊缝厚度不应小于填角焊缝有效厚度。</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2）鞍形补强件与支管连接的角焊缝厚度，不应小于支管名义厚度与鞍形补强件名义厚度两者中较小值的0.7倍。</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3）补强圈或鞍形补强件外缘与主管连接的角焊缝厚度应大于等于补强圈或鞍形补强件名义厚度的0.5倍。</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4）补强圈和鞍形补强件应与主管和支管贴合良好。</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检验数量：全部检查。</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检验方法：观察检查，采用检查尺检查，检查管道焊接检查记录。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3.1.5.5</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工艺管道安装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可燃介质管道的焊接应符合相关标准要求。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《汽车加油加气加氢站技术标准》GB50156-2021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zh-CN"/>
              </w:rPr>
              <w:t>1</w:t>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val="zh-CN"/>
              </w:rPr>
              <w:t>.5.4 可燃介质管道焊缝外观应成型良好，与母材圆滑过渡，宽度宜为每侧盖过坡口2mm，焊接接头表面质量应符合下列规定：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zh-CN"/>
              </w:rPr>
              <w:t>1 不得有裂纹、未熔合、夹渣、飞溅、</w:t>
            </w:r>
            <w:r>
              <w:rPr>
                <w:rFonts w:hint="eastAsia" w:ascii="宋体" w:hAnsi="宋体" w:eastAsia="宋体" w:cs="宋体"/>
                <w:color w:val="auto"/>
                <w:sz w:val="21"/>
                <w:szCs w:val="21"/>
                <w:highlight w:val="none"/>
              </w:rPr>
              <w:t>气孔</w:t>
            </w:r>
            <w:r>
              <w:rPr>
                <w:rFonts w:hint="eastAsia" w:ascii="宋体" w:hAnsi="宋体" w:eastAsia="宋体" w:cs="宋体"/>
                <w:color w:val="auto"/>
                <w:sz w:val="21"/>
                <w:szCs w:val="21"/>
                <w:highlight w:val="none"/>
                <w:lang w:val="zh-CN"/>
              </w:rPr>
              <w:t>存在；</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zh-CN"/>
              </w:rPr>
              <w:t>2 CNG和LNG管道焊缝不得有咬</w:t>
            </w:r>
            <w:r>
              <w:rPr>
                <w:rFonts w:hint="eastAsia" w:ascii="宋体" w:hAnsi="宋体" w:eastAsia="宋体" w:cs="宋体"/>
                <w:color w:val="auto"/>
                <w:sz w:val="21"/>
                <w:szCs w:val="21"/>
                <w:highlight w:val="none"/>
              </w:rPr>
              <w:t>边</w:t>
            </w:r>
            <w:r>
              <w:rPr>
                <w:rFonts w:hint="eastAsia" w:ascii="宋体" w:hAnsi="宋体" w:eastAsia="宋体" w:cs="宋体"/>
                <w:color w:val="auto"/>
                <w:sz w:val="21"/>
                <w:szCs w:val="21"/>
                <w:highlight w:val="none"/>
                <w:lang w:val="zh-CN"/>
              </w:rPr>
              <w:t>，其他管道焊缝咬肉深度不应大于0.5mm，连续咬肉长度不应大于100mm，且焊缝两侧咬肉总长不应大于焊缝全长的10%；</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3 </w:t>
            </w:r>
            <w:r>
              <w:rPr>
                <w:rFonts w:hint="eastAsia" w:ascii="宋体" w:hAnsi="宋体" w:eastAsia="宋体" w:cs="宋体"/>
                <w:color w:val="auto"/>
                <w:sz w:val="21"/>
                <w:szCs w:val="21"/>
                <w:highlight w:val="none"/>
                <w:lang w:val="zh-CN"/>
              </w:rPr>
              <w:t>焊缝表面不得低于管道表面，</w:t>
            </w:r>
            <w:r>
              <w:rPr>
                <w:rFonts w:hint="eastAsia" w:ascii="宋体" w:hAnsi="宋体" w:eastAsia="宋体" w:cs="宋体"/>
                <w:color w:val="auto"/>
                <w:sz w:val="21"/>
                <w:szCs w:val="21"/>
                <w:highlight w:val="none"/>
              </w:rPr>
              <w:t>管道壁厚小于或等于6mm时，</w:t>
            </w:r>
            <w:r>
              <w:rPr>
                <w:rFonts w:hint="eastAsia" w:ascii="宋体" w:hAnsi="宋体" w:eastAsia="宋体" w:cs="宋体"/>
                <w:color w:val="auto"/>
                <w:sz w:val="21"/>
                <w:szCs w:val="21"/>
                <w:highlight w:val="none"/>
                <w:lang w:val="zh-CN"/>
              </w:rPr>
              <w:t>焊缝余高不应大于</w:t>
            </w:r>
            <w:r>
              <w:rPr>
                <w:rFonts w:hint="eastAsia" w:ascii="宋体" w:hAnsi="宋体" w:eastAsia="宋体" w:cs="宋体"/>
                <w:color w:val="auto"/>
                <w:sz w:val="21"/>
                <w:szCs w:val="21"/>
                <w:highlight w:val="none"/>
              </w:rPr>
              <w:t>1.5mm；管道壁厚大于6mm时，</w:t>
            </w:r>
            <w:r>
              <w:rPr>
                <w:rFonts w:hint="eastAsia" w:ascii="宋体" w:hAnsi="宋体" w:eastAsia="宋体" w:cs="宋体"/>
                <w:color w:val="auto"/>
                <w:sz w:val="21"/>
                <w:szCs w:val="21"/>
                <w:highlight w:val="none"/>
                <w:lang w:val="zh-CN"/>
              </w:rPr>
              <w:t>焊缝余高不应大于2mm。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3.1.5.6</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工艺管道安装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可燃介质管道焊接接头无损检测应符合相关标准要求。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《汽车加油加气加氢站技术标准》GB50156-2021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w:t>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bidi="zh-CN"/>
              </w:rPr>
              <w:t>.5.5 可燃介质管道焊接接头无损检测方法应符合设计文件要求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lang w:bidi="zh-CN"/>
              </w:rPr>
              <w:t>3 当射线检测改用超声波检测时，应征得设计单位同意并取得证明文件。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3.1.5.7</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工艺管道安装</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工艺管道系统安装完成后，</w:t>
            </w:r>
            <w:r>
              <w:rPr>
                <w:rFonts w:hint="eastAsia" w:ascii="宋体" w:hAnsi="宋体" w:eastAsia="宋体" w:cs="宋体"/>
                <w:color w:val="auto"/>
                <w:sz w:val="21"/>
                <w:szCs w:val="21"/>
                <w:highlight w:val="none"/>
              </w:rPr>
              <w:t>在投入使用前，应进行吹扫、压力试验</w:t>
            </w:r>
            <w:r>
              <w:rPr>
                <w:rFonts w:hint="eastAsia" w:ascii="宋体" w:hAnsi="宋体" w:eastAsia="宋体" w:cs="宋体"/>
                <w:color w:val="auto"/>
                <w:sz w:val="21"/>
                <w:szCs w:val="21"/>
                <w:highlight w:val="none"/>
                <w:lang w:bidi="zh-CN"/>
              </w:rPr>
              <w:t>，并应符合相关标准要求。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《汽车加油加气加氢站技术标准》GB50156-2021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w:t>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bidi="zh-CN"/>
              </w:rPr>
              <w:t>.5.9 加油站工艺管道系统安装完成后，应进行压力试验。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w:t>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bidi="zh-CN"/>
              </w:rPr>
              <w:t>.5.11 压力试验过程中有泄漏时，不得带压处理。缺陷消除后应重新试压。</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w:t>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bidi="zh-CN"/>
              </w:rPr>
              <w:t>.5.13 可燃介质管道系统试压合格后，应用洁净水进行冲洗或用空气进行吹扫，并应符合下列规定：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不应安装法兰连接的安全阀、仪表件等，对已焊在管道上的阀门和仪表应采取保护措施。</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不参与冲洗或吹扫的设备应隔离。</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CNG、LNG管道宜采用空气吹扫。吹扫压力不得超过设备和管道系统的设计压力，空气流速不得小于20m/s，应以无游离水为合格。</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 xml:space="preserve">4 水冲洗流速不得小于1.5m/s。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w:t>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bidi="zh-CN"/>
              </w:rPr>
              <w:t>.5.14 可燃介质管道系统采用水冲洗时，应目测排出口的水色和透明度，应以出、入口水色和透明度一致为合格。</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采用空气吹扫时，应在排出口设白色油漆靶检查，应以5min内靶上无铁锈及其他杂物颗粒为合格。经冲洗或吹扫合格的管道，应及时恢复原状。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《石油天然气建设工程施工质量验收规范站内工艺管道工程》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4203-2019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10.1.1 管道系统安装完毕后，在投入使用前，应进行吹扫和压力试验。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10.1.6 试压用的压力表应经过检定，在有效期内，并应有铅封。其精度不应低于1.6级，表的量程应为被测压力（最大值）的1.5-2倍。压力表不应少于两块，分别置于管道的两端。</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10.1.7 制定吹扫试压方案时，应采取有效的安全措施，并应经业主和监理审批后实施。</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10.1.8 试压前，应将压力等级不同的管道、不宜与管道</w:t>
            </w:r>
            <w:r>
              <w:rPr>
                <w:rFonts w:hint="eastAsia" w:ascii="宋体" w:hAnsi="宋体" w:eastAsia="宋体" w:cs="宋体"/>
                <w:color w:val="auto"/>
                <w:sz w:val="21"/>
                <w:szCs w:val="21"/>
                <w:highlight w:val="none"/>
                <w:lang w:eastAsia="zh-CN"/>
              </w:rPr>
              <w:t>一起</w:t>
            </w:r>
            <w:r>
              <w:rPr>
                <w:rFonts w:hint="eastAsia" w:ascii="宋体" w:hAnsi="宋体" w:eastAsia="宋体" w:cs="宋体"/>
                <w:color w:val="auto"/>
                <w:sz w:val="21"/>
                <w:szCs w:val="21"/>
                <w:highlight w:val="none"/>
              </w:rPr>
              <w:t>试压的系统、设备、管件、阀门及仪器等隔开，按不同的试验压力进行试压。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3.1.5.8</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工艺管道安装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管道采用干空气或液氮干燥时，干燥结果应符合设计文件和相关标准要求。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《石油天然气建设工程施工质量验收规范站内工艺管道工程》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4203-2019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11.1.1 管道采用干空气或液氮干燥时，干燥结果应符合设计文件和现行国家标准《石油天然气站内工艺管道工程施工规范》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50540的有关规定。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11.1.2 管道采用真空干燥时，干燥结果应符合设计文件和现行国家标准《石油天然气站内工艺管道工程施工规范》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50540的有关规定。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3.1.5.9</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工艺管道安装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管道防腐和补口应符合设计文件和相关标准要求。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《石油天然气建设工程施工质量验收规范站内工艺管道工程》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4203-2019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12.1.1 管道防腐和补口应符合设计文件和相关标准规定。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12.1.2 管道防腐和补口应具有防腐补口工艺规程。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3.1.5.10</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工艺管道安装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保温和保护层材料应符合设计文件和相关标准要求。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《石油天然气建设工程施工质量验收规范站内工艺管道工程》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4203-2019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13.1.1 采用发泡有机保温材料时，密实度应符合设计文件要求。</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13.1.2 保温应在钢管表面质晕检查及防腐合格后进行。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13.2.1 保温和保护层材料应符合设计文件及规范要求，质量证明文件应齐全。</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 2.2 保温结构应符合设计文件规定。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3.1.6</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color w:val="auto"/>
                <w:spacing w:val="-6"/>
                <w:kern w:val="0"/>
                <w:sz w:val="21"/>
                <w:szCs w:val="21"/>
                <w:highlight w:val="none"/>
              </w:rPr>
            </w:pPr>
            <w:r>
              <w:rPr>
                <w:rFonts w:hint="eastAsia" w:ascii="宋体" w:hAnsi="宋体" w:eastAsia="宋体" w:cs="宋体"/>
                <w:b/>
                <w:bCs/>
                <w:color w:val="auto"/>
                <w:sz w:val="21"/>
                <w:szCs w:val="21"/>
                <w:highlight w:val="none"/>
              </w:rPr>
              <w:t>电气安装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3.1.6.1</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电气工程进行施工应符合相关标准要求。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《石油天然气建设工程施工质量验收规范电气工程》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4206-2019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 xml:space="preserve">3.2.1 </w:t>
            </w:r>
            <w:r>
              <w:rPr>
                <w:rFonts w:hint="eastAsia" w:ascii="宋体" w:hAnsi="宋体" w:eastAsia="宋体" w:cs="宋体"/>
                <w:color w:val="auto"/>
                <w:sz w:val="21"/>
                <w:szCs w:val="21"/>
                <w:highlight w:val="none"/>
                <w:lang w:bidi="zh-CN"/>
              </w:rPr>
              <w:t>电气工程应按下列规定进行施工质量控制：</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 安装在爆炸危险环境的电气设备、线路及相关材料，其规格型号应符合设计文件的规定。防爆设备必须有铭牌和防爆标识，并应在铭牌上标明国家授权的机构颁发的防爆合格证编号。</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 xml:space="preserve">3.2.2 </w:t>
            </w:r>
            <w:r>
              <w:rPr>
                <w:rFonts w:hint="eastAsia" w:ascii="宋体" w:hAnsi="宋体" w:eastAsia="宋体" w:cs="宋体"/>
                <w:color w:val="auto"/>
                <w:sz w:val="21"/>
                <w:szCs w:val="21"/>
                <w:highlight w:val="none"/>
                <w:lang w:bidi="zh-CN"/>
              </w:rPr>
              <w:t>电气工程施工质量的验收，应采用计量检定或校准合格的计量器具，使用时应在检定有效期内。</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 xml:space="preserve">3.2.3 </w:t>
            </w:r>
            <w:r>
              <w:rPr>
                <w:rFonts w:hint="eastAsia" w:ascii="宋体" w:hAnsi="宋体" w:eastAsia="宋体" w:cs="宋体"/>
                <w:color w:val="auto"/>
                <w:sz w:val="21"/>
                <w:szCs w:val="21"/>
                <w:highlight w:val="none"/>
                <w:lang w:bidi="zh-CN"/>
              </w:rPr>
              <w:t>电气设备上的计量仪表和与电气保护有关的计量仪表应检定合格，当投入试运行时，应在检定有效期内。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3.1.6.2</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电气安装</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盘、柜及二次回路接线的安装应符合相关标准要求。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《汽车加油加气加氢站技术标准》GB50156-2021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w:t>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bidi="zh-CN"/>
              </w:rPr>
              <w:t>.</w:t>
            </w: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lang w:bidi="zh-CN"/>
              </w:rPr>
              <w:t>.1 盘、柜及二次回路接线的安装除应符合现行国家标准《电气装置安装工程盘、柜及二次回路结线施工及验收规范》GB50171的有关规定外，尚应符合下列规定：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母线搭接面应处理后搪锡，并应均匀涂抹电力复合脂。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二次回路接线应紧密、无松动，采用多股软铜线时，线端应采用相应规格的接线耳与接线端子相连。</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w:t>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bidi="zh-CN"/>
              </w:rPr>
              <w:t>.</w:t>
            </w: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lang w:bidi="zh-CN"/>
              </w:rPr>
              <w:t>.2 电缆施工除应符合现行国家标准《电气装置安装工程电缆线路施工及验收规范》GB50168的有关规定外，尚应符合下列规定：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电缆进入电缆沟和建筑物时应穿管保护。保护管出入电缆沟和建筑物处的孔洞应封闭，保护管管口应密封。</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加油加气作业区内的电缆沟内应充沙填实。</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有防火要求时，在电缆穿过墙壁、楼板或进入电气盘、柜的孔洞处应进行防火和阻燃处理，并应采取隔离密封措施。</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w:t>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bidi="zh-CN"/>
              </w:rPr>
              <w:t>.</w:t>
            </w: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lang w:bidi="zh-CN"/>
              </w:rPr>
              <w:t>.4 接地装置的施工除应符合现行国家标准《电气装置安装工程接地装置施工及验收规范》GB50169的有关规定外，尚应符合下列规定：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接地体顶面埋设深度设计文件无规定时，不宜小于0.6m。角钢及钢管接地体应垂直敷设，除接地体外，接地装置焊接部位应做防腐处理。</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电气装置的接地应以单独的接地线与接地干线相连接，不得采用串接方式。</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w:t>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bidi="zh-CN"/>
              </w:rPr>
              <w:t>.</w:t>
            </w: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lang w:bidi="zh-CN"/>
              </w:rPr>
              <w:t>.6 所有导电体在安装完成后应进行接地检查，接地电阻值应符合设计要求。</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w:t>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bidi="zh-CN"/>
              </w:rPr>
              <w:t>.</w:t>
            </w: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lang w:bidi="zh-CN"/>
              </w:rPr>
              <w:t>.7 爆炸及火灾危险环境电气装置的施工除应符合现行国家标准《电气装置安装工程爆炸和火灾危险环境电气装置施工及验收规范》GB50257的有关规定外，尚应符合下列规定：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电缆线路穿过不同危险区域时，在交界处的电缆沟内应充砂、填阻火堵料或加设防火隔墙，保护管两端的管口处应将电缆周围用非燃性纤维堵塞严密，再填塞密封胶泥。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3 钢管与钢管、钢管与电气设备、钢管与钢管附件之间的连接，应满足防爆要求。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《石油天然气建设工程施工质量验收规范电气工程》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4206-2019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9.2.2 盘柜内保护接地导体</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PE</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排应有裸露的连接外部保护接地导体的端子，并应可靠连接。成列开关柜的接地母线应与主接地网连接可靠，高压成列开关柜应有两处明显的与接地网可靠连接点。</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20.2.2 二次回路的电源回路送电前，应检查绝缘，其绝缘电阻值不应小于1MΩ，潮湿地区不应小于0.5MΩ。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3.1.6.3</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电缆、电路敷设</w:t>
            </w:r>
            <w:r>
              <w:rPr>
                <w:rFonts w:hint="eastAsia" w:ascii="宋体" w:hAnsi="宋体" w:eastAsia="宋体" w:cs="宋体"/>
                <w:color w:val="auto"/>
                <w:sz w:val="21"/>
                <w:szCs w:val="21"/>
                <w:highlight w:val="none"/>
              </w:rPr>
              <w:t>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《石油天然气建设工程施工质量验收规范电气工程》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4206-2019</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4.2.3 电缆敷设时，不应有扭绞、压扁、保护层断裂和表面严重划伤等现象；直埋电缆严禁平行敷设在管道上、下方，与各种工艺管线交叉跨越距离及与易燃易爆气体管道、热力管道的距离应符合现行国家标准《电气装置安装工程电缆线路施工及验收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50168或《建筑电气工程施工质量验收规范》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50303的规定。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4.2.7 金属梯架、托盘或槽盒本体之间的连接应牢固可靠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3.1.6.4</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管配线安装应符合设计文件及相关标准要求。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《石油天然气建设工程施工质量验收规范电气工程》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4206-2019</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5.2.1 管配线的型号、规格、材质、适用场所及连接应符合设计文件及现行国家标准《建筑电气工程施工质量验收规范》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50303和《lkV及以下配线工程施工与验收规范》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50575的要求。爆炸、火灾危险环境导管与设备、导管与导管的连接应采用相应等级的防爆产品。</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5.2.4 金属导管不应对口熔焊连接；锁锌钢导管或壁厚小于或等</w:t>
            </w:r>
            <w:r>
              <w:rPr>
                <w:rFonts w:hint="eastAsia" w:ascii="宋体" w:hAnsi="宋体" w:eastAsia="宋体" w:cs="宋体"/>
                <w:color w:val="auto"/>
                <w:sz w:val="21"/>
                <w:szCs w:val="21"/>
                <w:highlight w:val="none"/>
                <w:lang w:eastAsia="zh-CN"/>
              </w:rPr>
              <w:t>于</w:t>
            </w:r>
            <w:r>
              <w:rPr>
                <w:rFonts w:hint="eastAsia" w:ascii="宋体" w:hAnsi="宋体" w:eastAsia="宋体" w:cs="宋体"/>
                <w:color w:val="auto"/>
                <w:sz w:val="21"/>
                <w:szCs w:val="21"/>
                <w:highlight w:val="none"/>
              </w:rPr>
              <w:t>2mm</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钢导管，不应采用套管熔焊连接。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3.1.6.5</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母线的安装应符合设计文件和相关标准要求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《石油天然气建设工程施工质量验收规范电气工程》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4206-2019</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7.2.2 母线支架和封闭、插接式母线的外壳接地</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PE</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连接完成，母线绝缘电阻测试和交流工频耐压试验应合格。</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7.2.3 母线槽的金属外壳等外露可导电部分应与保护导体可靠连接，并应符合下列规定：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每段母线槽的金属外壳应连接可靠，且母线槽全长与保护导体可靠连接不应少于2处。</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分支母线槽的金属外壳末端应与保护导体可靠连接。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3 连接导体的材质、截面积应符合设计文件要求。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3.1.6.6</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电力变压器的安装</w:t>
            </w:r>
            <w:r>
              <w:rPr>
                <w:rFonts w:hint="eastAsia" w:ascii="宋体" w:hAnsi="宋体" w:eastAsia="宋体" w:cs="宋体"/>
                <w:color w:val="auto"/>
                <w:sz w:val="21"/>
                <w:szCs w:val="21"/>
                <w:highlight w:val="none"/>
              </w:rPr>
              <w:t>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《石油天然气建设工程施工质量验收规范电气工程》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4206-2019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8.2.5 变压器箱体、干式变压器的支架或外壳应接地</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PE</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，所有连接应可靠，且不少于2处，中性点应单独接地。紧固件及防松零件应齐全。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3.1.6.7</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断路器安装应符合设计及相关标准要求。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《石油天然气建设工程施工质量验收规范电气工程》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4206-2019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10.2.3 断路器及其操动机构的联动应正常，无卡阻现象；分、合闸指示应正确；辅助开关动作应正确可靠。密度继电器的报警、闭锁值应符合产品技术文件的要求，电气回路传动应正确。</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10.2.4 注入油断路器的绝缘油应合格。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3.1.6.8</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隔离开关、负荷开关及高压熔断器安装</w:t>
            </w:r>
            <w:r>
              <w:rPr>
                <w:rFonts w:hint="eastAsia" w:ascii="宋体" w:hAnsi="宋体" w:eastAsia="宋体" w:cs="宋体"/>
                <w:color w:val="auto"/>
                <w:sz w:val="21"/>
                <w:szCs w:val="21"/>
                <w:highlight w:val="none"/>
              </w:rPr>
              <w:t>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《石油天然气建设工程施工质量验收规范电气工程》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4206-2019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11.2.3 隔离开关、负荷开关及高压熔断器的支架或外壳应接地</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PE</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，所有连接应可靠。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3.1.6.9</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电抗器、消弧线圈的安装</w:t>
            </w:r>
            <w:r>
              <w:rPr>
                <w:rFonts w:hint="eastAsia" w:ascii="宋体" w:hAnsi="宋体" w:eastAsia="宋体" w:cs="宋体"/>
                <w:color w:val="auto"/>
                <w:sz w:val="21"/>
                <w:szCs w:val="21"/>
                <w:highlight w:val="none"/>
              </w:rPr>
              <w:t>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《石油天然气建设工程施工质量验收规范电气工程》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4206-2019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13.2.2 电抗器、消弧线圈的试验应符合现行国家标准《电气装置安装工程  电气设备交接试验标准》</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50150的规定，交接试验合格后才能通电。</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13.2.3 电抗器、消弧线圈的接地应符合设计文件要求。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3.1.6.10</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避雷器的安装</w:t>
            </w:r>
            <w:r>
              <w:rPr>
                <w:rFonts w:hint="eastAsia" w:ascii="宋体" w:hAnsi="宋体" w:eastAsia="宋体" w:cs="宋体"/>
                <w:color w:val="auto"/>
                <w:sz w:val="21"/>
                <w:szCs w:val="21"/>
                <w:highlight w:val="none"/>
              </w:rPr>
              <w:t>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《石油天然气建设工程施工质量验收规范电气工程》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4206-2019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14.2.2 避雷器的电气试验应符合现行国家标准《电气装置安装工程电气设备交接试验标准》</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50150的规定，交接试验合格后方可通电。</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14.2.3 避雷器的接地应符合设计文件要求，接地引下线应连接、固定牢靠。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3.1.6.11</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电容器的安装</w:t>
            </w:r>
            <w:r>
              <w:rPr>
                <w:rFonts w:hint="eastAsia" w:ascii="宋体" w:hAnsi="宋体" w:eastAsia="宋体" w:cs="宋体"/>
                <w:color w:val="auto"/>
                <w:sz w:val="21"/>
                <w:szCs w:val="21"/>
                <w:highlight w:val="none"/>
              </w:rPr>
              <w:t>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《石油天然气建设工程施工质量验收规范电气工程》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4206-2019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15.2.1 成组安装的电容器三相电容量最大与最小的差值应符合设计文件规定。当设计无规定时，不应超过三相平均电容值的5%。</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15.2.2 电容器的电气试验应符合现行国家标准《电气装置安装工程 电气设备交接试验标准》</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50150</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规定，交接试验合格后才能通电。</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15.2.3 电容器的接地应符合设计文件要求。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3.1.6.12</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互感器的安装应符合相关标准要求，交接试验合格后方可通电。</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《石油天然气建设工程施工质量验收规范电气工程》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4206-2019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16.2.2 互感器电气试验应符合现行国家标准《电气装置安装工程 电气设备交接试验标准》</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50150的规定，交接试验合格后方可通电。互感器补油时，应按产品技术文件要求进行，注入互感器的变压器油应合格。</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16.2.3 气体绝缘互感器的气体压力或密度应符合产品技术文件</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要求。六氯化硫气体含水量应符合现行国家标准《电气装置安装工程 电气设备交接试验标准》</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50150的要求。气体密度表、继电器应经核对性检查合格。</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16.2.4 互感器的下列各部位应可靠接地：</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分级绝缘的电压互感器，其一次绕组的接地引出端子、电容式电压互感器的接地应符合产品技术文件的要求。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电容式绝缘电流互感器，其一次绕组末屏的引出端子、铁芯引出接地端子。</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互感器的外壳。</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电流互感器的备用二次绕组端子应先短路后接地。</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倒装式电流互感器二次绕组的金属导管。</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 应保证工作接地点有两根与主接地网不同地点连接的接地引下线。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3.1.6.13</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蓄电池型号、规格应符合设计文件和相关标准要求。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《石油天然气建设工程施工质量验收规范电气工程》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4206-2019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17.2.2 蓄电池的绝缘电阻应不小于0.5MΩ。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3.1.6.14</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照明器具及配电箱、板的安装</w:t>
            </w:r>
            <w:r>
              <w:rPr>
                <w:rFonts w:hint="eastAsia" w:ascii="宋体" w:hAnsi="宋体" w:eastAsia="宋体" w:cs="宋体"/>
                <w:color w:val="auto"/>
                <w:sz w:val="21"/>
                <w:szCs w:val="21"/>
                <w:highlight w:val="none"/>
              </w:rPr>
              <w:t>应符合设计文件和相关标准要求。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《石油天然气建设工程施工质量验收规范电气工程》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4206-2019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18.2.2 大（重）型灯具安装用的吊钩、预埋件应埋设牢固，吊杆及其销杆的防松、防震装置应齐全、可靠。吊钩圆钢直径不应小于灯具挂销直径</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且不应小</w:t>
            </w:r>
            <w:r>
              <w:rPr>
                <w:rFonts w:hint="eastAsia" w:ascii="宋体" w:hAnsi="宋体" w:eastAsia="宋体" w:cs="宋体"/>
                <w:color w:val="auto"/>
                <w:sz w:val="21"/>
                <w:szCs w:val="21"/>
                <w:highlight w:val="none"/>
                <w:lang w:eastAsia="zh-CN"/>
              </w:rPr>
              <w:t>于</w:t>
            </w:r>
            <w:r>
              <w:rPr>
                <w:rFonts w:hint="eastAsia" w:ascii="宋体" w:hAnsi="宋体" w:eastAsia="宋体" w:cs="宋体"/>
                <w:color w:val="auto"/>
                <w:sz w:val="21"/>
                <w:szCs w:val="21"/>
                <w:highlight w:val="none"/>
              </w:rPr>
              <w:t>6mm。并应按灯具重量</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2 倍做过载试验。质量大于10kg</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灯具</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固定装置及悬挂装置应按灯具重量</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5 倍恒定均布载荷做强度试验，且持续时间不得少于15min。</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18.2.4 电气器具及线路绝缘电阻测试合格后方可通电试验。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18.2.5 插座的保护接地导体端子不得与中性导体端子连接；同一场所的三相插座，其接线相序应一致。保护接地导 体</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PE</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在插座之间不得串联连接。相线与中性导体</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N</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不得利用插座本体的接线端子转接供电。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3.1.6.15</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电机的电气检查和接线</w:t>
            </w:r>
            <w:r>
              <w:rPr>
                <w:rFonts w:hint="eastAsia" w:ascii="宋体" w:hAnsi="宋体" w:eastAsia="宋体" w:cs="宋体"/>
                <w:color w:val="auto"/>
                <w:sz w:val="21"/>
                <w:szCs w:val="21"/>
                <w:highlight w:val="none"/>
              </w:rPr>
              <w:t>应符合设计文件和相关标准要求。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《石油天然气建设工程施工质量验收规范电气工程》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4206-2019</w:t>
            </w:r>
          </w:p>
        </w:tc>
        <w:tc>
          <w:tcPr>
            <w:tcW w:w="11060" w:type="dxa"/>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19.2.2</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电机的电气交接试验应符合现行国家标准《电气装置安装工程 电气设备交接试验标准》</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50150</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规定。</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19.2.3</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电机试运行前，其保护、控制、测量、信号等回路的调试应已完成，且动作正常。</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19.2.4</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电机的外露可导电部分必须与保护导体可靠连接。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3.1.6.16</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接地装置及接闪杆（带、网）的安装应符合设计文件和相关标准要求。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《石油天然气建设工程施工质量验收规范电气工程》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4206-2019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22.2.2 接地装置的接地电阻等参数测试应符合现行国家标准《电气装置安装工程电气设备交接试验标准》</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50150</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22.2.3 接闪器与防雷引下线必须采用焊接或卡接器连接，防雷引</w:t>
            </w:r>
            <w:r>
              <w:rPr>
                <w:rFonts w:hint="eastAsia" w:ascii="宋体" w:hAnsi="宋体" w:eastAsia="宋体" w:cs="宋体"/>
                <w:color w:val="auto"/>
                <w:sz w:val="21"/>
                <w:szCs w:val="21"/>
                <w:highlight w:val="none"/>
                <w:lang w:eastAsia="zh-CN"/>
              </w:rPr>
              <w:t>下线</w:t>
            </w:r>
            <w:r>
              <w:rPr>
                <w:rFonts w:hint="eastAsia" w:ascii="宋体" w:hAnsi="宋体" w:eastAsia="宋体" w:cs="宋体"/>
                <w:color w:val="auto"/>
                <w:sz w:val="21"/>
                <w:szCs w:val="21"/>
                <w:highlight w:val="none"/>
              </w:rPr>
              <w:t>与接地装置必须采用焊接或螺栓连接。</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22.2.4 电气装置的接地必须单独与</w:t>
            </w:r>
            <w:r>
              <w:rPr>
                <w:rFonts w:hint="eastAsia" w:ascii="宋体" w:hAnsi="宋体" w:eastAsia="宋体" w:cs="宋体"/>
                <w:color w:val="auto"/>
                <w:sz w:val="21"/>
                <w:szCs w:val="21"/>
                <w:highlight w:val="none"/>
                <w:lang w:eastAsia="zh-CN"/>
              </w:rPr>
              <w:t>接地母线</w:t>
            </w:r>
            <w:r>
              <w:rPr>
                <w:rFonts w:hint="eastAsia" w:ascii="宋体" w:hAnsi="宋体" w:eastAsia="宋体" w:cs="宋体"/>
                <w:color w:val="auto"/>
                <w:sz w:val="21"/>
                <w:szCs w:val="21"/>
                <w:highlight w:val="none"/>
              </w:rPr>
              <w:t>或接地网相连接</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严禁在一条接地线中串接两个及两个以上需要接地的电气装置。接地极的连接应采用焊接，接地线与接地极的连接应采用焊接。</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22.2.5 接地网的埋设深度和间距应符合设计文件要求。当无具体规定时，接地极顶面埋深不宜小于0.8m，水平接地极的间距不宜小于Sm，垂直接地极的间距不宜小于其长度的2倍。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3.1.6.17</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UPS及EPS的安装应符合设计文件和相关标准要求。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《石油天然气建设工程施工质量验收规范电气工程》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4206-2019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23.2.2 UPS及EPS的内部接线应正确、可靠不松动，紧固件应齐全，极性应正确，输入、输出各级保护系统的动作和输出的电压稳定性、波形畸变系数及频率、相位、静态开关的动作等各项技术性能指标试验调整应符合产品技术文件要求，当以现场的最终试验替代出厂试验时，应根据产品技术文件进行试验调整，且应符合设计文件要求。</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23.2.3 EPS应按设计或产品技术文件的要求进行下列检查：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核对初装容量，并应符合设计文件要求。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核对输入回路断路器的过载和短路电流整定值，并应符合设计文件要求。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核对各输出回路的负荷量，且不应超过EPS</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额定最大输出功率。</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核对蓄电池备用时间及应急电源装置的允许过载能力，并应符合设计文件要求。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当对电池性能、极性及电源转换时间有异议时，应由制造商负责现场测试，并应符合设计文件要求。</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23.2.4 UPS及EPS的绝缘电阻值应符合下列规定：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UPS的输入端、输出端 对地间绝缘电阻值不应小于2MΩ。</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UPS及 EPS连线及出线的线间、线对地间绝缘电阻值不应小于0.5MΩ。</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23.2.5 UPS输出端的系统接地连接方式应符合设计文件要求。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3.1.7</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color w:val="auto"/>
                <w:spacing w:val="-6"/>
                <w:kern w:val="0"/>
                <w:sz w:val="21"/>
                <w:szCs w:val="21"/>
                <w:highlight w:val="none"/>
              </w:rPr>
            </w:pPr>
            <w:r>
              <w:rPr>
                <w:rFonts w:hint="eastAsia" w:ascii="宋体" w:hAnsi="宋体" w:eastAsia="宋体" w:cs="宋体"/>
                <w:b/>
                <w:bCs/>
                <w:color w:val="auto"/>
                <w:sz w:val="21"/>
                <w:szCs w:val="21"/>
                <w:highlight w:val="none"/>
              </w:rPr>
              <w:t>防雷防静电安装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3.1.7.1</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防雷防静电安装</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一般要求。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《汽车加油加气加氢站技术标准》GB50156-2021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13.2.2 汽车加油加气加氢站的防雷接地、防静电接地、电气设备的工作接地、保护接地及信息系统的接地等应共用接地装置，接地电阻不应大于4Ω。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《城镇燃气雷电防护技术规范》QX</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T109-2021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5.1.3 燃气场站的设施（利用本体作为接闪器的设施除外）应置于雷电防护区LPZ0b内。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3.1.7.2</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防雷防静电安装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生产厂房的防雷防静电安装应符合设计及相关标准要求。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《汽车加油加气加氢站技术标准》GB50156-2021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13.2.6 当汽车加油加气加氢站内的站房和罩棚等建筑物需要防直击雷时．应采用接闪带（网）保护。当罩棚采用金属屋面时，宜利用屋面作为接闪器，但应符合下列规定：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板间的连接应是持久的电气贯通，可采用铜锌合金焊、熔焊、卷边压接、缝接、螺钉或螺栓连接；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金属板下面不应有易燃物品，热锁锌钢板的厚度不应小于0.5mm，铝板的厚度不应小于0.65mm</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锌板的厚度不应小于0.7mm；</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金属板应无绝缘被覆层。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3.1.7.3</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防雷防静电安装</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电气和电子信息系统的接地应符合设计及相关标准要求。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《汽车加油加气加氢站技术标准》GB50156-2021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13.2.9 380/220V供配电系统宜采用TN-S系统，当外供电源为380V时，可采用TN-C-S系统。供电系统的电缆金属外皮或电缆金属保护管两端均应接地，在供配电系统的电源端应安装与设备耐压水平相适应的过电压（电涌）保护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《城镇燃气雷电防护技术规范》QX</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T109-2021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7.2 电气系统的室外低压配电线路宜全线采用金属铠装电缆或护套电缆穿钢管埋地敷设，在入户处应将电缆的金属外铠或外套钢管接到等电位连接带上。</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8.6 储罐上安装的电子系统设备，其金属外壳应与罐体可靠电气连接。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3.1.7.4</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防雷防静电安装</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设备和管道的防雷防静电安装应符合设计及相关标准要求。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《汽车加油加气加氢站技术标准》GB50156-2021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13.2.4 埋地钢制油罐、埋地LPG 储罐以及非金属油罐顶部的金属部件和罐内的各金属部件，必须与非埋地部分的工艺金属管道相互做电气连接井接地。</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13.2.</w:t>
            </w: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bidi="zh-CN"/>
              </w:rPr>
              <w:t>0 地上或管沟敷设的油品管道、LPG管道、LNG管道、CNG管道、氢气管道和液氢管道应设防静电和防感应雷的共用接地装置，接地电阻不应大于30Ω。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《城镇燃气雷电防护技术规范》QX</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T109-2021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5.1.4 爆炸危险区域内设备的接地线应在不同方向与接地体连接，且连接点不少于两处。</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5.2.2 储罐应可靠接地，宜在储罐周边设置闭合环形接地体。接地点应沿罐体周边均匀布置，其间距不宜大于30m，且不应少于2处。</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5.3.3 机器设备和电动机安装应按下列要求进行：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—在同一个金属底板上时，将金属底板接地；</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—安装在单独混凝土底座上或者位于其他低导电材料制作的单独底板上时，将二者用接地线连接并接地，接地线材型规格符合</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50057—2010中表5.4.1水平接地体的规定。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3.1.7.5</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防雷防静电安装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卸车场地防静电接地应符合设计和相关标准要求。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《汽车加油加气加氢站技术标准》GB50156-2021</w:t>
            </w:r>
          </w:p>
        </w:tc>
        <w:tc>
          <w:tcPr>
            <w:tcW w:w="11060" w:type="dxa"/>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 xml:space="preserve">13.2.16 </w:t>
            </w:r>
            <w:r>
              <w:rPr>
                <w:rFonts w:hint="eastAsia" w:ascii="宋体" w:hAnsi="宋体" w:eastAsia="宋体" w:cs="宋体"/>
                <w:color w:val="auto"/>
                <w:sz w:val="21"/>
                <w:szCs w:val="21"/>
                <w:highlight w:val="none"/>
              </w:rPr>
              <w:t>油</w:t>
            </w:r>
            <w:r>
              <w:rPr>
                <w:rFonts w:hint="eastAsia" w:ascii="宋体" w:hAnsi="宋体" w:eastAsia="宋体" w:cs="宋体"/>
                <w:color w:val="auto"/>
                <w:sz w:val="21"/>
                <w:szCs w:val="21"/>
                <w:highlight w:val="none"/>
                <w:lang w:bidi="zh-CN"/>
              </w:rPr>
              <w:t>罐车、LPG罐车、LNG罐车和液氢罐车卸车场地内用于防静电跨接的固定接地装詈不应设置在爆炸危险1区。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3.1.7.6</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防雷防静电安装</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爆炸危险区域内的钢制法兰及金属管道的跨接应符合设计及相关标准要求。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《汽车加油加气加氢站技术标准》GB50156-2021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13.2.12 在爆炸危险区域内工艺管道上的法兰、胶管两端等连接处应用金</w:t>
            </w:r>
            <w:r>
              <w:rPr>
                <w:rFonts w:hint="eastAsia" w:ascii="宋体" w:hAnsi="宋体" w:eastAsia="宋体" w:cs="宋体"/>
                <w:color w:val="auto"/>
                <w:sz w:val="21"/>
                <w:szCs w:val="21"/>
                <w:highlight w:val="none"/>
              </w:rPr>
              <w:t>属</w:t>
            </w:r>
            <w:r>
              <w:rPr>
                <w:rFonts w:hint="eastAsia" w:ascii="宋体" w:hAnsi="宋体" w:eastAsia="宋体" w:cs="宋体"/>
                <w:color w:val="auto"/>
                <w:sz w:val="21"/>
                <w:szCs w:val="21"/>
                <w:highlight w:val="none"/>
                <w:lang w:bidi="zh-CN"/>
              </w:rPr>
              <w:t>线跨接。当法兰的连接螺栓不少</w:t>
            </w:r>
            <w:r>
              <w:rPr>
                <w:rFonts w:hint="eastAsia" w:ascii="宋体" w:hAnsi="宋体" w:eastAsia="宋体" w:cs="宋体"/>
                <w:color w:val="auto"/>
                <w:sz w:val="21"/>
                <w:szCs w:val="21"/>
                <w:highlight w:val="none"/>
              </w:rPr>
              <w:t>于</w:t>
            </w:r>
            <w:r>
              <w:rPr>
                <w:rFonts w:hint="eastAsia" w:ascii="宋体" w:hAnsi="宋体" w:eastAsia="宋体" w:cs="宋体"/>
                <w:color w:val="auto"/>
                <w:sz w:val="21"/>
                <w:szCs w:val="21"/>
                <w:highlight w:val="none"/>
                <w:lang w:bidi="zh-CN"/>
              </w:rPr>
              <w:t>5根时．在非腐蚀环境下可不跨接。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《城镇燃气雷电防护技术规范》QX</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T109-2021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5.2.3 连接或附着于储罐的金属构件应与罐体形成电气通路。阀门、法兰盘等连接处过渡电阻大于0.03Ω时，连接处应用金属线跨接，金属跨接线的最小截面积应符合附录C的规定。对不少于5根螺栓连接的法兰盘，在非腐蚀环境下，可不跨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3.1.8</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仪表及自控安装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3.1.8.1</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仪表及自控安装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一般要求。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《汽车加油加气加氢站技术标准》GB50156-2021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15.7.8 仪表的安装调试除应符合现行行业标准《石油化工仪表工程施工技术规程》SH3521的有关规定外，尚应符合下列规定：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仪表安装前应进行外观检查，并应经调试校验合格。</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2 仪表电缆电线敷设及接线前，应进行导通检查与绝缘试验。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内浮筒液面计及浮球液面计采用导向管或其他导向装置时，导向管或导向装置应垂直安装，并应保证导向管内液流畅通。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安装浮球液位报警器用的法兰与工艺设备之间连接管的长度，应保证浮球能在全量程范围内自由活动。</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仪表设备外壳、仪表盘（箱）、接线箱等，当有可能接触到危险电压的裸露金属部件时，应作保护接地。</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 计量仪器安装前应确认在计量鉴定合格有效期内，如计量有效期满，应及时与建设单位或监理单位代表联系。</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 仪表管路工作介质为油品、油气、LPG、LNG、CNG等可燃介质时，其施工应符合现行国家标准《石油化工金属管道工程施工质量验收规范》GB50517的有关规定。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 仪表安装完成后，应按设计文件及国家现行有关标准的规定进行各项性能试验，并应做书面记录。</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 电缆的屏蔽单端接地宜在控制室一侧接地，电缆现场端的屏蔽层不得露出保护层外，应与相邻金属体保持绝缘，同一线路屏蔽层应有可靠的电气连续性。</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15.7.9 信息系统的通讯线和电源线在室内敷设时，宜采用暗铺方式；无法暗铺时，应使用护套管或线槽沿墙明铺。</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15.7.10 信息系统的电源线和通讯线不应敷设在同一镀锌钢护套管内，通讯线管与电源线管出口间隔宜为300mm。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3.1.8.2</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仪表及自控安装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仪表盘（柜、台、箱）的安装</w:t>
            </w:r>
            <w:r>
              <w:rPr>
                <w:rFonts w:hint="eastAsia" w:ascii="宋体" w:hAnsi="宋体" w:eastAsia="宋体" w:cs="宋体"/>
                <w:color w:val="auto"/>
                <w:sz w:val="21"/>
                <w:szCs w:val="21"/>
                <w:highlight w:val="none"/>
              </w:rPr>
              <w:t>应符合设计及相关标准要求。</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《石油天然气建设工程施工质量验收规范自动化仪表工程》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4205-2019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4.2.2 </w:t>
            </w:r>
            <w:r>
              <w:rPr>
                <w:rFonts w:hint="eastAsia" w:ascii="宋体" w:hAnsi="宋体" w:eastAsia="宋体" w:cs="宋体"/>
                <w:color w:val="auto"/>
                <w:sz w:val="21"/>
                <w:szCs w:val="21"/>
                <w:highlight w:val="none"/>
                <w:lang w:val="zh-CN" w:bidi="zh-CN"/>
              </w:rPr>
              <w:t>仪表盘（柜、台、箱）的安装应符合下列规定：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1 </w:t>
            </w:r>
            <w:r>
              <w:rPr>
                <w:rFonts w:hint="eastAsia" w:ascii="宋体" w:hAnsi="宋体" w:eastAsia="宋体" w:cs="宋体"/>
                <w:color w:val="auto"/>
                <w:sz w:val="21"/>
                <w:szCs w:val="21"/>
                <w:highlight w:val="none"/>
                <w:lang w:val="zh-CN" w:bidi="zh-CN"/>
              </w:rPr>
              <w:t>仪表盘（柜、台）的安装位置和平面布置应符合设计文件规定。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2 </w:t>
            </w:r>
            <w:r>
              <w:rPr>
                <w:rFonts w:hint="eastAsia" w:ascii="宋体" w:hAnsi="宋体" w:eastAsia="宋体" w:cs="宋体"/>
                <w:color w:val="auto"/>
                <w:sz w:val="21"/>
                <w:szCs w:val="21"/>
                <w:highlight w:val="none"/>
                <w:lang w:val="zh-CN" w:bidi="zh-CN"/>
              </w:rPr>
              <w:t>仪表盘（柜、台、箱）之间及内部各设备之间的连接应牢固。</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3 </w:t>
            </w:r>
            <w:r>
              <w:rPr>
                <w:rFonts w:hint="eastAsia" w:ascii="宋体" w:hAnsi="宋体" w:eastAsia="宋体" w:cs="宋体"/>
                <w:color w:val="auto"/>
                <w:sz w:val="21"/>
                <w:szCs w:val="21"/>
                <w:highlight w:val="none"/>
                <w:lang w:val="zh-CN" w:bidi="zh-CN"/>
              </w:rPr>
              <w:t>仪表盘（柜、台、箱）应无变形和表面涂层损伤。</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4.2.3 </w:t>
            </w:r>
            <w:r>
              <w:rPr>
                <w:rFonts w:hint="eastAsia" w:ascii="宋体" w:hAnsi="宋体" w:eastAsia="宋体" w:cs="宋体"/>
                <w:color w:val="auto"/>
                <w:sz w:val="21"/>
                <w:szCs w:val="21"/>
                <w:highlight w:val="none"/>
                <w:lang w:val="zh-CN" w:bidi="zh-CN"/>
              </w:rPr>
              <w:t>仪表盘（柜、台、箱）内部的仪表管道和仪表线路的安装应符合下列规定：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1 </w:t>
            </w:r>
            <w:r>
              <w:rPr>
                <w:rFonts w:hint="eastAsia" w:ascii="宋体" w:hAnsi="宋体" w:eastAsia="宋体" w:cs="宋体"/>
                <w:color w:val="auto"/>
                <w:sz w:val="21"/>
                <w:szCs w:val="21"/>
                <w:highlight w:val="none"/>
                <w:lang w:val="zh-CN" w:bidi="zh-CN"/>
              </w:rPr>
              <w:t>当仪表管道引入安装在有爆炸和火灾危险、有毒及有腐蚀性物质环境的仪表盘（柜、台、箱）时，其管道引入孔处应做密封处理。</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2 </w:t>
            </w:r>
            <w:r>
              <w:rPr>
                <w:rFonts w:hint="eastAsia" w:ascii="宋体" w:hAnsi="宋体" w:eastAsia="宋体" w:cs="宋体"/>
                <w:color w:val="auto"/>
                <w:sz w:val="21"/>
                <w:szCs w:val="21"/>
                <w:highlight w:val="none"/>
                <w:lang w:val="zh-CN" w:bidi="zh-CN"/>
              </w:rPr>
              <w:t>仪表盘（柜、台、箱）内部的仪表线路接线应正确牢固，导通和绝缘检查合格，线端应有编号。</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4.2.4 </w:t>
            </w:r>
            <w:r>
              <w:rPr>
                <w:rFonts w:hint="eastAsia" w:ascii="宋体" w:hAnsi="宋体" w:eastAsia="宋体" w:cs="宋体"/>
                <w:color w:val="auto"/>
                <w:sz w:val="21"/>
                <w:szCs w:val="21"/>
                <w:highlight w:val="none"/>
                <w:lang w:val="zh-CN" w:bidi="zh-CN"/>
              </w:rPr>
              <w:t>仪表供电系统的安装应符合设计文件规定。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4.2.5 </w:t>
            </w:r>
            <w:r>
              <w:rPr>
                <w:rFonts w:hint="eastAsia" w:ascii="宋体" w:hAnsi="宋体" w:eastAsia="宋体" w:cs="宋体"/>
                <w:color w:val="auto"/>
                <w:sz w:val="21"/>
                <w:szCs w:val="21"/>
                <w:highlight w:val="none"/>
                <w:lang w:val="zh-CN" w:bidi="zh-CN"/>
              </w:rPr>
              <w:t>仪表盘（柜、台、箱）在防爆区域的施工和接地应符合下列规定：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1 </w:t>
            </w:r>
            <w:r>
              <w:rPr>
                <w:rFonts w:hint="eastAsia" w:ascii="宋体" w:hAnsi="宋体" w:eastAsia="宋体" w:cs="宋体"/>
                <w:color w:val="auto"/>
                <w:sz w:val="21"/>
                <w:szCs w:val="21"/>
                <w:highlight w:val="none"/>
                <w:lang w:val="zh-CN" w:bidi="zh-CN"/>
              </w:rPr>
              <w:t>仪表盘（柜、台、箱）的防爆措施应符合设计文件规定。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2 </w:t>
            </w:r>
            <w:r>
              <w:rPr>
                <w:rFonts w:hint="eastAsia" w:ascii="宋体" w:hAnsi="宋体" w:eastAsia="宋体" w:cs="宋体"/>
                <w:color w:val="auto"/>
                <w:sz w:val="21"/>
                <w:szCs w:val="21"/>
                <w:highlight w:val="none"/>
                <w:lang w:val="zh-CN" w:bidi="zh-CN"/>
              </w:rPr>
              <w:t>仪表盘（柜、台、箱）内的本质安全电路敷设配线时，应与非本质安全电路分开；两者接线端子的间距，不得小于50mm；当间距不符合要求时，应采用高于端子的绝缘板隔离。</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3 </w:t>
            </w:r>
            <w:r>
              <w:rPr>
                <w:rFonts w:hint="eastAsia" w:ascii="宋体" w:hAnsi="宋体" w:eastAsia="宋体" w:cs="宋体"/>
                <w:color w:val="auto"/>
                <w:sz w:val="21"/>
                <w:szCs w:val="21"/>
                <w:highlight w:val="none"/>
                <w:lang w:val="zh-CN" w:bidi="zh-CN"/>
              </w:rPr>
              <w:t>工作接地系统应符合设计文件规定。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4 </w:t>
            </w:r>
            <w:r>
              <w:rPr>
                <w:rFonts w:hint="eastAsia" w:ascii="宋体" w:hAnsi="宋体" w:eastAsia="宋体" w:cs="宋体"/>
                <w:color w:val="auto"/>
                <w:sz w:val="21"/>
                <w:szCs w:val="21"/>
                <w:highlight w:val="none"/>
                <w:lang w:val="zh-CN" w:bidi="zh-CN"/>
              </w:rPr>
              <w:t>保护接地系统应符合设计文件规定。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 xml:space="preserve">5 </w:t>
            </w:r>
            <w:r>
              <w:rPr>
                <w:rFonts w:hint="eastAsia" w:ascii="宋体" w:hAnsi="宋体" w:eastAsia="宋体" w:cs="宋体"/>
                <w:color w:val="auto"/>
                <w:sz w:val="21"/>
                <w:szCs w:val="21"/>
                <w:highlight w:val="none"/>
                <w:lang w:val="zh-CN" w:bidi="zh-CN"/>
              </w:rPr>
              <w:t>屏蔽接地应符合设计文件规定。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3.1.8.3</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仪表及自控安装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温度检测仪表的安装应符合设计及相关标准要求。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《石油天然气建设工程施工质量验收规范自动化仪表工程》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4205-2019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5.2.2 温度取源部件的安装位置应符合设计文件规定。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5.2.3 温度检测仪表的安装应符合下列要求：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仪表的安装位置应符合设计文件规定，安装应牢固，不应承受非正常外力。</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表面温度计的感温面与被测对象表面应接触紧密，固定 牢固。</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压力式温度计的温包应全部浸入被测对象中。</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5.2.4 温度检测仪表的接线应正确牢固，导通和绝缘检查合格。</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5.2.5 有特殊要求的温度检测仪表的安装应符合下列规定：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防爆和接地措施应符合设计文件规定。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毛细管的敷设应有保护措施，弯曲半径不应小于50mm，周围温度变化剧烈时应采取隔热措施。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3.1.8.4</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仪表及自控安装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压力检测仪表的安装位置应符合设计及相关标准要求。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《石油天然气建设工程施工质量验收规范自动化仪表工程》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4205-2019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6.2.2 压力取源部件的安装位置应符合设计文件规定。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6.2.3 压力检测仪表的安装位置应符合设计文件规定，安装应牢固、平正，不应承受非正常外力。</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6.2.4 与仪表连接的管道、线路的安装应符合下列规定：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仪表管道的型号、规格、材质等应符合设计文件规定，质量证明文件齐全。</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当仪表管道与仪表设备连接时，应连接严密，且不应使仪表设备和仪表管道承受机械应力。</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仪表管道的安装、压力试验和泄涌性试验应符合设计文件规定。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4 接线应正确牢固，导通和绝缘检查合格。</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6.2.5 有特殊要求的压力检测仪表的安装应符合下列规定：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防爆、接地、隔离和吹洗措施应符合设计文件规定。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毛细管的敷设应有保护措施，弯曲半径不应小于50mm，周围温度变化剧烈时应采取隔热措施。</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测量高压的压力仪表安装在操作岗位附近时，安装位置和防护措施应符合设计文件规定和安全操作要求。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3.1.8.5</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仪表及自控安装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流量检测仪表的安装应符合设计及相关标准要求。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《石油天然气建设工程施工质量验收规范自动化仪表工程》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4205-2019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7.2.2 流量取源部件的安装应符合下列规定：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流量取源部件的安装位置应符合设计文件规定。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流量取源部件上、下游直管段的最小长度应符合设计文件规定。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在规定的直管段最小长度范围内，不得设置其他取源部件或检测元件，直管段内壁应清洁，无凹坑和凸出物。</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7.2.3 流量检测仪表的安装应符合下列规定：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仪表的安装位置应符合设计文件规定，安装应牢固、平正，不应承受非正常外力。</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节流件的安装应符合下列要求：</w:t>
            </w:r>
          </w:p>
          <w:p>
            <w:pPr>
              <w:keepNext w:val="0"/>
              <w:keepLines w:val="0"/>
              <w:pageBreakBefore w:val="0"/>
              <w:numPr>
                <w:ilvl w:val="0"/>
                <w:numId w:val="5"/>
              </w:numPr>
              <w:kinsoku/>
              <w:wordWrap/>
              <w:overflowPunct/>
              <w:topLinePunct w:val="0"/>
              <w:autoSpaceDE/>
              <w:autoSpaceDN/>
              <w:bidi w:val="0"/>
              <w:spacing w:line="260" w:lineRule="atLeast"/>
              <w:ind w:left="0" w:firstLine="48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水平和倾斜的管道上安装的孔板或喷嘴、排泄孔的位置应符合设计文件或现行国家标准《自动化仪表工程施工及质量验收规范》GB50093的有关规定；</w:t>
            </w:r>
          </w:p>
          <w:p>
            <w:pPr>
              <w:keepNext w:val="0"/>
              <w:keepLines w:val="0"/>
              <w:pageBreakBefore w:val="0"/>
              <w:numPr>
                <w:ilvl w:val="0"/>
                <w:numId w:val="5"/>
              </w:numPr>
              <w:kinsoku/>
              <w:wordWrap/>
              <w:overflowPunct/>
              <w:topLinePunct w:val="0"/>
              <w:autoSpaceDE/>
              <w:autoSpaceDN/>
              <w:bidi w:val="0"/>
              <w:spacing w:line="260" w:lineRule="atLeast"/>
              <w:ind w:left="0" w:firstLine="48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节流件上"+"号的一侧应在被测流体流向的上游侧，当用箭头标明流向时，箭头的指向应与被测流体的流向一致。</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差压式仪表正负压室与测量管道的连接应正确，测量管道倾斜方向和坡度及过滤器、消气器、隔离器、冷凝器、沉降器、集气器的安装应符合设计文件规定。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4 转子流量计应安装在无振动的管道上，其中心线与铅垂线间的夹角不应超过2'垂直安装时被测流体流向应为自下而上，上游侧直管段长度不宜小于管道直径的2倍。</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5 靶式流量计的靶中心应与管道轴线同心，靶面应迎着被测流体流向且与管道轴线垂直，上、下游直管段长度应符合设计文件规定。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 涡轮、涡街流量计信号线应使用屏蔽线，上、下游直管段的长度应符合设计文件规定。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7 电磁流量计的安装应符合现行国家标准《自动化仪表工程施工及质量验收规范》GB50093的有关规定。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8 椭圆齿轮流量计的刻度盘面应处于垂直平面内。在垂直管道上安装时，管道内流体流向应自下而上。</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9 超声波流量计的上、下游直管段的长度应符合设计文件规定。对于水平管道，换能器的位置应在与水平直线成 45°夹角的范围内。被测管道内壁不应有影响测量准确度的结垢层或涂层。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10 均速管流量计上、下游直管段的长度应符合设计文件规定。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11 质量流量计的安装应符合现行国家标准《自动化仪表工程施工及质童验收规范》GB50093的有关规定。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7.2.4 与仪表连接的管道、线路的安装质量、检验数量和检验方法应符合本规范第6.2.4条的规定。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7.2.5 有特殊要求的流量检测仪表的安装应符合下列规定：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防爆、接地、隔离和吹洗措施应符合设计文件规定。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2 毛细管的敷设应有保护措施，弯曲半径不应小于50mm，周围温度变化剧烈时应采取隔热措施。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3.1.8.6</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仪表及自控安装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物位检测仪表的安装应符合设计及相关标准要求。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《石油天然气建设工程施工质量验收规范自动化仪表工程》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4205-2019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8.2.2 物位取源部件的安装应符合下列规定：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物位取源部件的安装位置应符合设计文件规定。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内浮筒液位计和浮球液位计采用导向管或其他导向装置时，导向管或导向装置应垂直安装，导向管内液流应畅通。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双室平衡容器应垂直安装，中心点应与正常液位相重合；其制造尺寸应符合设计文件规定。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4 单室平衡容器的安装标高应符合设计文件规定。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5 补偿式平衡容器安装固定时应有防止热膨胀的措施。</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8.2.3 物位检测仪表的安装应符合下列规定：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仪表的安装位置应符合设计文件规定，安装应牢固、平正，不应承受非正常外力。</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浮筒液位计的安装应使浮筒呈垂直状态，垂直度允许偏差为2mm/m；浮筒中心应处于正常操作液位或分界液位的高度。</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钢带液位计的导向管应垂直安装，钢带应处于导向管的中心并滑动自如。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4 雷达物位计不应安装在进料口的上方，传感器应垂直于物料表面。</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5 音叉物位计的两个平行叉板应与地面垂直安装。</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 射频导纳物位计不应安装在进料口的上方，传感器的中心探杆和屏蔽层与容器壁（或安装管）不得接触，应绝缘良好，安装螺纹（或法兰）与容器应连接牢固、电气接触良好。</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8.2.4 与仪表连接的管道、线路的安装质量、检验数量和检验方法应符合本规范第6.2.4条的规定。</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8.2.5 有特殊要求的物位检测仪表的安装质量、检验数量和检验方法应符合本规范第7.2.5条的规定。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3.1.8.7</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仪表及自控安装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成分分析和物性检测仪表的安装应符合设计及相关标准要求。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《石油天然气建设工程施工质量验收规范自动化仪表工程》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4205-2019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9.2.2 分析取源部件的安装应符合下列规定：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分析取源部件的安装位置应符合设计文件规定。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被分析的气体内含有异相杂质时，取源部件的轴线与水平线之间的仰角应大于15°。</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9.2.3 成分分析和物性检测仪表的安装应符合下列规定：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仪表的安装位置应符合设计文件规定，安装应牢固、平正，不应承受非正常外力。</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分析样品的排放设施的安装应符合设计文件规定。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当被检测气体的密度大于空气密度时，可燃气体检测器和有毒气体检测器距离地面的安装位置应符合设计文件规定；密度小于空气密度时，检测器应安装在泄漏区域的上方。</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9.2.4 与仪表连接的管道、线路的安装质量、检验数量和检验方法应符合本规范第6.2.4条的规定。</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9.2.5 成分分析和物性检测仪表的防爆、接地、脱脂、隔离和吹洗措施应符合设计文件规定。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3.1.8.8</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仪表及自控安装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执行器的安装应符合设计及相关标准要求。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《石油天然气建设工程施工质量验收规范自动化仪表工程》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4205-2019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11.2.2 执行器的安装应符合下列要求：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控制阀的安装位置应符合设计文件要求，便于观察、操作维护。</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执行机构应固定牢固，操作手轮应处在便于操作的位置。</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执行机构的机械传动应灵活，无松动和卡涩现象。</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4 执行机构应保证调节机构在全开到全关的范围内动作灵活、平稳。</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5 气、液动执行机构的连接管道应有伸缩余度，不应妨碍执行机构的动作。</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 电磁阀线圈与阀体间的绝缘电阻应符合产品技术文件的要求，安装时进出口方位应正确。</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11.2.3 与仪表连接的管道、线路的安装质晕、检验数量和检验方法应符合本规范第6.2.4条的规定。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11.2.4 执行器的防爆、接地和隔离措施应符合设计文件规定。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3.1.8.9</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仪表及自控安装</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仪表线路的安装应符合设计及相关标准要求。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《石油天然气建设工程施工质量验收规范自动化仪表工程》</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4205-2019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12.2.1 仪表线路的安装应符合下列规定：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当仪表线路有隔热措施和防火措施要求时，应按设计文件执行。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本质安全型仪表线路的敷设、接线应符合设计文件规定。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电缆桥架、电缆沟或电缆导管通过不同防爆等级区域分隔间的墙壁时，充填密封措施应符合设计文件要求。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4 仪表线路从室外进入室内时，防水和封堵措施应符合设计文件要求；仪表线路进入室外的盘（柜、箱）时，宜从底部进入，防水密封措施应符合设计文件要求。</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12.2.2 支架的规格、材质、结构形式应符合设计文件规定，安装应符合现行国家标准《自动化仪表工程施工及质量验收规范》GB50093的有关规定。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12.2.3 电缆桥架的安装应符合下列规定：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电缆桥架的型号、规格、材质等应符合设计文件规定。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电缆桥架的内外表面应平整，内部应光洁、无毛刺，尺寸应准确，配件应齐全。</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金属电缆桥架应保持接地连续性，接地连接点不少于2处，接地电阻应符合设计文件规定。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12.2.4 电缆导管的安装应符合下列规定：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电缆导管的型号、规格、材质等应符合设计文件规定。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电缆导管应无变形或裂缝，内部应清洁、无毛刺，管口应光滑、无锐边。</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12.2.5 电缆、电线、光缆的敷设应符合下列规定：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L 电缆、电线、光缆的型号、规格应符合设计文件规定。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电缆电线的绝缘电阻试验应采用直流500V兆欧表测量，100V以下的仪表线路应采用直流250V兆欧表测量，电阻值不应小于5MΩ。</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仪表线路应排列整齐，固定时应松紧适当。</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4 仪表线路及其绝缘层应无损伤。</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5 光缆的连接应符合现行国家标准《自动化仪表工程施工及质量验收规范》GB50093的有关规定。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12.2.6 仪表接线箱的型号、规格、材质等应符合设计文件规定。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12.2.7 仪表电伴热带的敷设、固定应符合设计文件和现行国家标准《自动化仪表工程施工及质量验收规范》GB50093的要求。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3.1.9</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color w:val="auto"/>
                <w:spacing w:val="-6"/>
                <w:kern w:val="0"/>
                <w:sz w:val="21"/>
                <w:szCs w:val="21"/>
                <w:highlight w:val="none"/>
              </w:rPr>
            </w:pPr>
            <w:r>
              <w:rPr>
                <w:rFonts w:hint="eastAsia" w:ascii="宋体" w:hAnsi="宋体" w:eastAsia="宋体" w:cs="宋体"/>
                <w:b/>
                <w:bCs/>
                <w:color w:val="auto"/>
                <w:sz w:val="21"/>
                <w:szCs w:val="21"/>
                <w:highlight w:val="none"/>
              </w:rPr>
              <w:t>给排水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3.1.9.1</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给排水</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站区给</w:t>
            </w:r>
            <w:r>
              <w:rPr>
                <w:rFonts w:hint="eastAsia" w:ascii="宋体" w:hAnsi="宋体" w:eastAsia="宋体" w:cs="宋体"/>
                <w:color w:val="auto"/>
                <w:sz w:val="21"/>
                <w:szCs w:val="21"/>
                <w:highlight w:val="none"/>
              </w:rPr>
              <w:t>排水应符合设计及相关标准要求。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《汽车加油加气加氢站技术标准》GB50156-2021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val="zh-CN" w:bidi="zh-CN"/>
              </w:rPr>
              <w:t>1</w:t>
            </w:r>
            <w:r>
              <w:rPr>
                <w:rFonts w:hint="eastAsia" w:ascii="宋体" w:hAnsi="宋体" w:eastAsia="宋体" w:cs="宋体"/>
                <w:color w:val="auto"/>
                <w:sz w:val="21"/>
                <w:szCs w:val="21"/>
                <w:highlight w:val="none"/>
                <w:lang w:bidi="zh-CN"/>
              </w:rPr>
              <w:t>2</w:t>
            </w:r>
            <w:r>
              <w:rPr>
                <w:rFonts w:hint="eastAsia" w:ascii="宋体" w:hAnsi="宋体" w:eastAsia="宋体" w:cs="宋体"/>
                <w:color w:val="auto"/>
                <w:sz w:val="21"/>
                <w:szCs w:val="21"/>
                <w:highlight w:val="none"/>
                <w:lang w:val="zh-CN" w:bidi="zh-CN"/>
              </w:rPr>
              <w:t>.3.1</w:t>
            </w:r>
            <w:r>
              <w:rPr>
                <w:rFonts w:hint="eastAsia" w:ascii="宋体" w:hAnsi="宋体" w:eastAsia="宋体" w:cs="宋体"/>
                <w:color w:val="auto"/>
                <w:sz w:val="21"/>
                <w:szCs w:val="21"/>
                <w:highlight w:val="none"/>
                <w:lang w:bidi="zh-CN"/>
              </w:rPr>
              <w:t xml:space="preserve"> </w:t>
            </w:r>
            <w:r>
              <w:rPr>
                <w:rFonts w:hint="eastAsia" w:ascii="宋体" w:hAnsi="宋体" w:eastAsia="宋体" w:cs="宋体"/>
                <w:color w:val="auto"/>
                <w:sz w:val="21"/>
                <w:szCs w:val="21"/>
                <w:highlight w:val="none"/>
                <w:lang w:val="zh-CN" w:bidi="zh-CN"/>
              </w:rPr>
              <w:t>汽车加油加气加氢站设置的水冷式压缩机系统的压缩机冷却水供给，应满足压缩机的水位水质要求，且宜循环使用。</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12.</w:t>
            </w:r>
            <w:r>
              <w:rPr>
                <w:rFonts w:hint="eastAsia" w:ascii="宋体" w:hAnsi="宋体" w:eastAsia="宋体" w:cs="宋体"/>
                <w:color w:val="auto"/>
                <w:sz w:val="21"/>
                <w:szCs w:val="21"/>
                <w:highlight w:val="none"/>
                <w:lang w:val="zh-CN" w:bidi="zh-CN"/>
              </w:rPr>
              <w:t>3.2</w:t>
            </w:r>
            <w:r>
              <w:rPr>
                <w:rFonts w:hint="eastAsia" w:ascii="宋体" w:hAnsi="宋体" w:eastAsia="宋体" w:cs="宋体"/>
                <w:color w:val="auto"/>
                <w:sz w:val="21"/>
                <w:szCs w:val="21"/>
                <w:highlight w:val="none"/>
                <w:lang w:bidi="zh-CN"/>
              </w:rPr>
              <w:t xml:space="preserve"> </w:t>
            </w:r>
            <w:r>
              <w:rPr>
                <w:rFonts w:hint="eastAsia" w:ascii="宋体" w:hAnsi="宋体" w:eastAsia="宋体" w:cs="宋体"/>
                <w:color w:val="auto"/>
                <w:sz w:val="21"/>
                <w:szCs w:val="21"/>
                <w:highlight w:val="none"/>
                <w:lang w:val="zh-CN" w:bidi="zh-CN"/>
              </w:rPr>
              <w:t>汽车加油加气加氢站的排水应符合下列规定：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1 </w:t>
            </w:r>
            <w:r>
              <w:rPr>
                <w:rFonts w:hint="eastAsia" w:ascii="宋体" w:hAnsi="宋体" w:eastAsia="宋体" w:cs="宋体"/>
                <w:color w:val="auto"/>
                <w:sz w:val="21"/>
                <w:szCs w:val="21"/>
                <w:highlight w:val="none"/>
                <w:lang w:val="zh-CN" w:bidi="zh-CN"/>
              </w:rPr>
              <w:t>站内地面雨水可散流排出站外，当加油站、LPG加气站或加油与LPG加气合建站的</w:t>
            </w:r>
            <w:r>
              <w:rPr>
                <w:rFonts w:hint="eastAsia" w:ascii="宋体" w:hAnsi="宋体" w:eastAsia="宋体" w:cs="宋体"/>
                <w:color w:val="auto"/>
                <w:sz w:val="21"/>
                <w:szCs w:val="21"/>
                <w:highlight w:val="none"/>
                <w:lang w:bidi="zh-CN"/>
              </w:rPr>
              <w:t>雨水</w:t>
            </w:r>
            <w:r>
              <w:rPr>
                <w:rFonts w:hint="eastAsia" w:ascii="宋体" w:hAnsi="宋体" w:eastAsia="宋体" w:cs="宋体"/>
                <w:color w:val="auto"/>
                <w:sz w:val="21"/>
                <w:szCs w:val="21"/>
                <w:highlight w:val="none"/>
                <w:lang w:val="zh-CN" w:bidi="zh-CN"/>
              </w:rPr>
              <w:t>由明沟排到站外时，应在图墙内设置水封装置；</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2 </w:t>
            </w:r>
            <w:r>
              <w:rPr>
                <w:rFonts w:hint="eastAsia" w:ascii="宋体" w:hAnsi="宋体" w:eastAsia="宋体" w:cs="宋体"/>
                <w:color w:val="auto"/>
                <w:sz w:val="21"/>
                <w:szCs w:val="21"/>
                <w:highlight w:val="none"/>
                <w:lang w:val="zh-CN" w:bidi="zh-CN"/>
              </w:rPr>
              <w:t>加油站、LPG加气站或加油与LPG加气合建站排出建筑物或围墙的污水，在建筑物墙外或</w:t>
            </w:r>
            <w:r>
              <w:rPr>
                <w:rFonts w:hint="eastAsia" w:ascii="宋体" w:hAnsi="宋体" w:eastAsia="宋体" w:cs="宋体"/>
                <w:color w:val="auto"/>
                <w:sz w:val="21"/>
                <w:szCs w:val="21"/>
                <w:highlight w:val="none"/>
                <w:lang w:bidi="zh-CN"/>
              </w:rPr>
              <w:t>围</w:t>
            </w:r>
            <w:r>
              <w:rPr>
                <w:rFonts w:hint="eastAsia" w:ascii="宋体" w:hAnsi="宋体" w:eastAsia="宋体" w:cs="宋体"/>
                <w:color w:val="auto"/>
                <w:sz w:val="21"/>
                <w:szCs w:val="21"/>
                <w:highlight w:val="none"/>
                <w:lang w:val="zh-CN" w:bidi="zh-CN"/>
              </w:rPr>
              <w:t>墙内应分别设水封井，水封井的水封高度不应小于0.25m。水封井应设沉泥段，沉泥段高度不应小</w:t>
            </w:r>
            <w:r>
              <w:rPr>
                <w:rFonts w:hint="eastAsia" w:ascii="宋体" w:hAnsi="宋体" w:eastAsia="宋体" w:cs="宋体"/>
                <w:color w:val="auto"/>
                <w:sz w:val="21"/>
                <w:szCs w:val="21"/>
                <w:highlight w:val="none"/>
                <w:lang w:bidi="zh-CN"/>
              </w:rPr>
              <w:t>于</w:t>
            </w:r>
            <w:r>
              <w:rPr>
                <w:rFonts w:hint="eastAsia" w:ascii="宋体" w:hAnsi="宋体" w:eastAsia="宋体" w:cs="宋体"/>
                <w:color w:val="auto"/>
                <w:sz w:val="21"/>
                <w:szCs w:val="21"/>
                <w:highlight w:val="none"/>
                <w:lang w:val="zh-CN" w:bidi="zh-CN"/>
              </w:rPr>
              <w:t>0.25m；</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3 </w:t>
            </w:r>
            <w:r>
              <w:rPr>
                <w:rFonts w:hint="eastAsia" w:ascii="宋体" w:hAnsi="宋体" w:eastAsia="宋体" w:cs="宋体"/>
                <w:color w:val="auto"/>
                <w:sz w:val="21"/>
                <w:szCs w:val="21"/>
                <w:highlight w:val="none"/>
                <w:lang w:val="zh-CN" w:bidi="zh-CN"/>
              </w:rPr>
              <w:t>清洗油罐的污水应集中收</w:t>
            </w:r>
            <w:r>
              <w:rPr>
                <w:rFonts w:hint="eastAsia" w:ascii="宋体" w:hAnsi="宋体" w:eastAsia="宋体" w:cs="宋体"/>
                <w:color w:val="auto"/>
                <w:sz w:val="21"/>
                <w:szCs w:val="21"/>
                <w:highlight w:val="none"/>
                <w:lang w:bidi="zh-CN"/>
              </w:rPr>
              <w:t>集</w:t>
            </w:r>
            <w:r>
              <w:rPr>
                <w:rFonts w:hint="eastAsia" w:ascii="宋体" w:hAnsi="宋体" w:eastAsia="宋体" w:cs="宋体"/>
                <w:color w:val="auto"/>
                <w:sz w:val="21"/>
                <w:szCs w:val="21"/>
                <w:highlight w:val="none"/>
                <w:lang w:val="zh-CN" w:bidi="zh-CN"/>
              </w:rPr>
              <w:t>处理。不应直接进入排水管道，LPG储罐的排污（排水）应采用活动式回收桶集中收集处理，不应直接接入排水管道；</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4 </w:t>
            </w:r>
            <w:r>
              <w:rPr>
                <w:rFonts w:hint="eastAsia" w:ascii="宋体" w:hAnsi="宋体" w:eastAsia="宋体" w:cs="宋体"/>
                <w:color w:val="auto"/>
                <w:sz w:val="21"/>
                <w:szCs w:val="21"/>
                <w:highlight w:val="none"/>
                <w:lang w:val="zh-CN" w:bidi="zh-CN"/>
              </w:rPr>
              <w:t>排出站外的污水应符合国家现行有关污水排放标准的规定；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bidi="zh-CN"/>
              </w:rPr>
              <w:t xml:space="preserve">5 </w:t>
            </w:r>
            <w:r>
              <w:rPr>
                <w:rFonts w:hint="eastAsia" w:ascii="宋体" w:hAnsi="宋体" w:eastAsia="宋体" w:cs="宋体"/>
                <w:color w:val="auto"/>
                <w:sz w:val="21"/>
                <w:szCs w:val="21"/>
                <w:highlight w:val="none"/>
                <w:lang w:val="zh-CN" w:bidi="zh-CN"/>
              </w:rPr>
              <w:t>加油站、LPG加气站不应采用暗沟排水。</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12.3.</w:t>
            </w:r>
            <w:r>
              <w:rPr>
                <w:rFonts w:hint="eastAsia" w:ascii="宋体" w:hAnsi="宋体" w:eastAsia="宋体" w:cs="宋体"/>
                <w:color w:val="auto"/>
                <w:sz w:val="21"/>
                <w:szCs w:val="21"/>
                <w:highlight w:val="none"/>
                <w:lang w:val="zh-CN" w:bidi="zh-CN"/>
              </w:rPr>
              <w:t>3</w:t>
            </w:r>
            <w:r>
              <w:rPr>
                <w:rFonts w:hint="eastAsia" w:ascii="宋体" w:hAnsi="宋体" w:eastAsia="宋体" w:cs="宋体"/>
                <w:color w:val="auto"/>
                <w:sz w:val="21"/>
                <w:szCs w:val="21"/>
                <w:highlight w:val="none"/>
                <w:lang w:bidi="zh-CN"/>
              </w:rPr>
              <w:t xml:space="preserve"> </w:t>
            </w:r>
            <w:r>
              <w:rPr>
                <w:rFonts w:hint="eastAsia" w:ascii="宋体" w:hAnsi="宋体" w:eastAsia="宋体" w:cs="宋体"/>
                <w:color w:val="auto"/>
                <w:sz w:val="21"/>
                <w:szCs w:val="21"/>
                <w:highlight w:val="none"/>
                <w:lang w:val="zh-CN" w:bidi="zh-CN"/>
              </w:rPr>
              <w:t>排水井、雨水口和化粪池不应设在作业区和可燃液体出现泄湍事故时可能流经的部位。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液化石油气供应工程设计规范</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GB51142-2015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sz w:val="21"/>
                <w:szCs w:val="21"/>
                <w:highlight w:val="none"/>
                <w:lang w:val="zh-CN"/>
              </w:rPr>
            </w:pPr>
            <w:r>
              <w:rPr>
                <w:rFonts w:hint="eastAsia" w:ascii="宋体" w:hAnsi="宋体" w:eastAsia="宋体" w:cs="宋体"/>
                <w:sz w:val="21"/>
                <w:szCs w:val="21"/>
                <w:highlight w:val="none"/>
                <w:lang w:val="zh-CN"/>
              </w:rPr>
              <w:t>11.2.2</w:t>
            </w:r>
            <w:r>
              <w:rPr>
                <w:rFonts w:hint="eastAsia" w:ascii="宋体" w:hAnsi="宋体" w:eastAsia="宋体" w:cs="宋体"/>
                <w:sz w:val="21"/>
                <w:szCs w:val="21"/>
                <w:highlight w:val="none"/>
                <w:lang w:val="en-US"/>
              </w:rPr>
              <w:t xml:space="preserve"> </w:t>
            </w:r>
            <w:r>
              <w:rPr>
                <w:rFonts w:hint="eastAsia" w:ascii="宋体" w:hAnsi="宋体" w:eastAsia="宋体" w:cs="宋体"/>
                <w:sz w:val="21"/>
                <w:szCs w:val="21"/>
                <w:highlight w:val="none"/>
                <w:lang w:val="zh-CN"/>
              </w:rPr>
              <w:t>液化石油气储存站、储配站、灌装站、气化站和混气站生产区的排水系统应采取防止液化石油气排入其他地下管道或低洼部位的措施，并应符合下列规定：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sz w:val="21"/>
                <w:szCs w:val="21"/>
                <w:highlight w:val="none"/>
                <w:lang w:val="zh-CN"/>
              </w:rPr>
            </w:pPr>
            <w:r>
              <w:rPr>
                <w:rFonts w:hint="eastAsia" w:ascii="宋体" w:hAnsi="宋体" w:eastAsia="宋体" w:cs="宋体"/>
                <w:sz w:val="21"/>
                <w:szCs w:val="21"/>
                <w:highlight w:val="none"/>
                <w:lang w:val="en-US"/>
              </w:rPr>
              <w:t xml:space="preserve">1 </w:t>
            </w:r>
            <w:r>
              <w:rPr>
                <w:rFonts w:hint="eastAsia" w:ascii="宋体" w:hAnsi="宋体" w:eastAsia="宋体" w:cs="宋体"/>
                <w:sz w:val="21"/>
                <w:szCs w:val="21"/>
                <w:highlight w:val="none"/>
                <w:lang w:val="zh-CN"/>
              </w:rPr>
              <w:t>生产区内地面雨水可散流排出站外。在排出围墙之前，应设置水封和隔油装置。</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sz w:val="21"/>
                <w:szCs w:val="21"/>
                <w:highlight w:val="none"/>
                <w:lang w:val="zh-CN"/>
              </w:rPr>
            </w:pPr>
            <w:r>
              <w:rPr>
                <w:rFonts w:hint="eastAsia" w:ascii="宋体" w:hAnsi="宋体" w:eastAsia="宋体" w:cs="宋体"/>
                <w:sz w:val="21"/>
                <w:szCs w:val="21"/>
                <w:highlight w:val="none"/>
                <w:lang w:val="en-US"/>
              </w:rPr>
              <w:t xml:space="preserve">2 </w:t>
            </w:r>
            <w:r>
              <w:rPr>
                <w:rFonts w:hint="eastAsia" w:ascii="宋体" w:hAnsi="宋体" w:eastAsia="宋体" w:cs="宋体"/>
                <w:sz w:val="21"/>
                <w:szCs w:val="21"/>
                <w:highlight w:val="none"/>
                <w:lang w:val="zh-CN"/>
              </w:rPr>
              <w:t>储罐区雨水可采用管道排至站外，在排出储罐区防护堤和围墙之前应分别设置水封装置。</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sz w:val="21"/>
                <w:szCs w:val="21"/>
                <w:highlight w:val="none"/>
                <w:lang w:val="zh-CN"/>
              </w:rPr>
            </w:pPr>
            <w:r>
              <w:rPr>
                <w:rFonts w:hint="eastAsia" w:ascii="宋体" w:hAnsi="宋体" w:eastAsia="宋体" w:cs="宋体"/>
                <w:sz w:val="21"/>
                <w:szCs w:val="21"/>
                <w:highlight w:val="none"/>
                <w:lang w:val="en-US"/>
              </w:rPr>
              <w:t xml:space="preserve">3 </w:t>
            </w:r>
            <w:r>
              <w:rPr>
                <w:rFonts w:hint="eastAsia" w:ascii="宋体" w:hAnsi="宋体" w:eastAsia="宋体" w:cs="宋体"/>
                <w:sz w:val="21"/>
                <w:szCs w:val="21"/>
                <w:highlight w:val="none"/>
                <w:lang w:val="zh-CN"/>
              </w:rPr>
              <w:t>液化石油气储存站、储配站、灌装站、气化站和混气站生产区应在建筑墙外或围墙内设置水封井。水封井的水封高度应为0.30m～0.50m；水封井应设沉泥段，沉泥段高度不应小于0.25m。</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sz w:val="21"/>
                <w:szCs w:val="21"/>
                <w:highlight w:val="none"/>
                <w:lang w:val="zh-CN"/>
              </w:rPr>
            </w:pPr>
            <w:r>
              <w:rPr>
                <w:rFonts w:hint="eastAsia" w:ascii="宋体" w:hAnsi="宋体" w:eastAsia="宋体" w:cs="宋体"/>
                <w:sz w:val="21"/>
                <w:szCs w:val="21"/>
                <w:highlight w:val="none"/>
                <w:lang w:val="en-US"/>
              </w:rPr>
              <w:t xml:space="preserve">4 </w:t>
            </w:r>
            <w:r>
              <w:rPr>
                <w:rFonts w:hint="eastAsia" w:ascii="宋体" w:hAnsi="宋体" w:eastAsia="宋体" w:cs="宋体"/>
                <w:sz w:val="21"/>
                <w:szCs w:val="21"/>
                <w:highlight w:val="none"/>
                <w:lang w:val="zh-CN"/>
              </w:rPr>
              <w:t>清洗储罐的污水不应直接进入排水管道。液化石油气储罐的排污应采用活动式回收桶集中收集处理，不得直接接入排水管道。</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sz w:val="21"/>
                <w:szCs w:val="21"/>
                <w:highlight w:val="none"/>
                <w:lang w:val="zh-CN"/>
              </w:rPr>
            </w:pPr>
            <w:r>
              <w:rPr>
                <w:rFonts w:hint="eastAsia" w:ascii="宋体" w:hAnsi="宋体" w:eastAsia="宋体" w:cs="宋体"/>
                <w:sz w:val="21"/>
                <w:szCs w:val="21"/>
                <w:highlight w:val="none"/>
                <w:lang w:val="en-US"/>
              </w:rPr>
              <w:t xml:space="preserve">5 </w:t>
            </w:r>
            <w:r>
              <w:rPr>
                <w:rFonts w:hint="eastAsia" w:ascii="宋体" w:hAnsi="宋体" w:eastAsia="宋体" w:cs="宋体"/>
                <w:sz w:val="21"/>
                <w:szCs w:val="21"/>
                <w:highlight w:val="none"/>
                <w:lang w:val="zh-CN"/>
              </w:rPr>
              <w:t>排出站外城镇下水道系统的污水应符合现行行业标准《污水排入城镇下水道水质标准》CJ343的有关规定。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注：</w:t>
            </w:r>
            <w:r>
              <w:rPr>
                <w:rFonts w:hint="eastAsia" w:ascii="宋体" w:hAnsi="宋体" w:eastAsia="宋体" w:cs="宋体"/>
                <w:sz w:val="21"/>
                <w:szCs w:val="21"/>
                <w:highlight w:val="none"/>
                <w:lang w:val="zh-CN"/>
              </w:rPr>
              <w:t>2016年8月1日实施新标准《污水排入城镇下水道水质标准》GB/T31962-2015。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eastAsia="zh-CN"/>
              </w:rPr>
            </w:pPr>
            <w:r>
              <w:rPr>
                <w:rFonts w:hint="eastAsia" w:ascii="宋体" w:hAnsi="宋体" w:eastAsia="宋体" w:cs="宋体"/>
                <w:sz w:val="21"/>
                <w:szCs w:val="21"/>
                <w:highlight w:val="none"/>
                <w:lang w:val="zh-CN"/>
              </w:rPr>
              <w:t>《污水排入城镇下水道水质标准》GB/T31962-2015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全文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3.1.10</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color w:val="auto"/>
                <w:spacing w:val="-6"/>
                <w:kern w:val="0"/>
                <w:sz w:val="21"/>
                <w:szCs w:val="21"/>
                <w:highlight w:val="none"/>
              </w:rPr>
            </w:pPr>
            <w:r>
              <w:rPr>
                <w:rFonts w:hint="eastAsia" w:ascii="宋体" w:hAnsi="宋体" w:eastAsia="宋体" w:cs="宋体"/>
                <w:b/>
                <w:bCs/>
                <w:color w:val="auto"/>
                <w:sz w:val="21"/>
                <w:szCs w:val="21"/>
                <w:highlight w:val="none"/>
              </w:rPr>
              <w:t>钢网架工程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3.1.10.1</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钢网架工程</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焊接工程应符合</w:t>
            </w:r>
            <w:r>
              <w:rPr>
                <w:rFonts w:hint="eastAsia" w:ascii="宋体" w:hAnsi="宋体" w:eastAsia="宋体" w:cs="宋体"/>
                <w:color w:val="auto"/>
                <w:sz w:val="21"/>
                <w:szCs w:val="21"/>
                <w:highlight w:val="none"/>
              </w:rPr>
              <w:t>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《钢结构工程施工质量验收标准</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GB50205–2020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5.1.3 焊接应冷却到环境温度后方可进行外观检测，无损检测应在外观检测合格后进行。具体检测时间应符合国家现行标准《钢结构焊接规范》GB50661的规定。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5.2.1 焊接材料与母材的匹配应符合设计文件的要求及国家现行标准的规定。焊接材料在使用前，应按其说明书及焊接工艺文件的规定进行烘焙和存放。</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5.2.2 持证焊工必须在其焊工合格证书规定的认可范围内施焊，严禁无证焊工施焊。</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5.2.3 施工单位应按现行国家标准《钢结构焊接规范》GB50661的规定进行焊接工艺评定，根据评定报告确定焊接工艺，编写焊接工艺规程并进行全过程质量控制。</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5.2.4 设计要求的一、二级焊缝应进行内部缺陷的无损检测，一、二级焊缝的质量等级和检测要求，应符合表5.2.4的规定。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5.3.1 施工单位对其采用的栓钉和钢材焊接应进行焊接工艺评定，其结果应满足设计要求，并符合现行国家标准的规定。栓钉焊瓷环保存时应有防潮措施，受潮时的焊接瓷环使用前应在120℃~150℃范围内烘焙1h</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2h。</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5.3.2 栓钉焊接接头外观质量检验合格后进行打弯抽样检查，焊缝和热影响区不得有肉眼可见的裂纹。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3.1.10.2</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钢网架工程</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紧固件连接应符合</w:t>
            </w:r>
            <w:r>
              <w:rPr>
                <w:rFonts w:hint="eastAsia" w:ascii="宋体" w:hAnsi="宋体" w:eastAsia="宋体" w:cs="宋体"/>
                <w:color w:val="auto"/>
                <w:sz w:val="21"/>
                <w:szCs w:val="21"/>
                <w:highlight w:val="none"/>
              </w:rPr>
              <w:t>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《钢结构工程施工质量验收标准</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GB50205–2020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6.2.1 普通螺栓作为永久性连接螺栓时，当设计有要求或对其质量有疑义时，应进行螺栓实物最小拉力载荷复验，试验方法可按本标准附录B执行，其结果应符合现行国家标准《坚固件机械性能 螺栓 螺钉和螺柱》GB/T3098的规定。</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6.2.2 连接薄板采用的自攻钉、拉铆钉、射钉等规格尺寸应与被连接钢板相匹配，并满足设计要求，其间距、边距应满足设计要求。</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6.3.1 钢结构制作和安装单位应分别进行高强度螺栓连接摩擦面（含涂层摩擦面）的抗滑移系数试验和复验，现场处理的构件摩擦面应单独进行摩擦面抗滑移系数试验，其结果应满足设计要求。</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6.3.2 涂层摩擦面钢材表面处理应达到Sa2.5，涂层最小厚度应达到设计要求。</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6.3.3 高强度螺栓连接副应在终拧完成后1h后、48h内进行终拧质量检查，检查结果应符合标准附录B的规定。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3.1.10.3</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钢网架工程</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钢组件组装应符合</w:t>
            </w:r>
            <w:r>
              <w:rPr>
                <w:rFonts w:hint="eastAsia" w:ascii="宋体" w:hAnsi="宋体" w:eastAsia="宋体" w:cs="宋体"/>
                <w:color w:val="auto"/>
                <w:sz w:val="21"/>
                <w:szCs w:val="21"/>
                <w:highlight w:val="none"/>
              </w:rPr>
              <w:t>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《钢结构工程施工质量验收标准</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GB50205–2020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8.2.1 钢材、钢部件拼接或对接时所采用的焊缝质量等级应满足设计要求。当设计没有要求时，应采用质量等级不低于二级的熔透焊缝，对直接承受拉力的焊缝，应采用一级熔透焊缝。</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8.3.1 钢吊车梁的下翼缘不得焊接工装夹具、定位板、连接板等临时工件。钢吊车梁和吊车桁架组装、焊接完成后在自重荷载下不允许有下挠。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3.1.10.4</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钢网架工程</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钢构件实体预拼装</w:t>
            </w:r>
            <w:r>
              <w:rPr>
                <w:rFonts w:hint="eastAsia" w:ascii="宋体" w:hAnsi="宋体" w:eastAsia="宋体" w:cs="宋体"/>
                <w:color w:val="auto"/>
                <w:sz w:val="21"/>
                <w:szCs w:val="21"/>
                <w:highlight w:val="none"/>
              </w:rPr>
              <w:t>应符合</w:t>
            </w:r>
            <w:r>
              <w:rPr>
                <w:rFonts w:hint="eastAsia" w:ascii="宋体" w:hAnsi="宋体" w:eastAsia="宋体" w:cs="宋体"/>
                <w:color w:val="auto"/>
                <w:sz w:val="21"/>
                <w:szCs w:val="21"/>
                <w:highlight w:val="none"/>
              </w:rPr>
              <w:t>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《钢结构工程施工质量验收标准</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GB50205–2020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9.2.1 高强度螺栓和普通螺栓连接的多层板叠，应采用试孔器乾螺栓孔通过率检查，并应符合下列规定：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1 当采用比公称孔径小1.0mm的试孔器检查时，每组孔的通过率不应小于85%。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当采用比螺栓公称直径大0.3mm的试孔器检查时，通过率应为100%。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3.1.10.5</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钢网架工程</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单层、多高层钢结构安装</w:t>
            </w:r>
            <w:r>
              <w:rPr>
                <w:rFonts w:hint="eastAsia" w:ascii="宋体" w:hAnsi="宋体" w:eastAsia="宋体" w:cs="宋体"/>
                <w:color w:val="auto"/>
                <w:sz w:val="21"/>
                <w:szCs w:val="21"/>
                <w:highlight w:val="none"/>
              </w:rPr>
              <w:t>应符合</w:t>
            </w:r>
            <w:r>
              <w:rPr>
                <w:rFonts w:hint="eastAsia" w:ascii="宋体" w:hAnsi="宋体" w:eastAsia="宋体" w:cs="宋体"/>
                <w:color w:val="auto"/>
                <w:sz w:val="21"/>
                <w:szCs w:val="21"/>
                <w:highlight w:val="none"/>
              </w:rPr>
              <w:t>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《钢结构工程施工质量验收标准</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GB50205–2020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10.1.2 钢结构安装工程可按变形缝或空间稳定单元等划分成一个或若干个检验批，也可按楼层或施工段等划分为一个或若干个检验批。地下钢结构可按不同地下层划分检验批。</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10.1.5 安装偏差的检测，应在结构形成空间稳定单元并连接固定且临时支撑结构拆除前进行。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10.1.6 安装时，施工荷载和冰雪荷载等严禁超过梁、桁架、楼面板、层面板、平台铺板等的承载能力。</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10.1.7 有形成空间稳定单元后，应立即对柱底板和基础顶面的空隙进行二次浇灌。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10.1.8 多节柱安装时，每节柱的定位轴线应从基础控制轴线直接引上，不得从下层柱的轴线引上。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3.1.11</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color w:val="auto"/>
                <w:spacing w:val="-6"/>
                <w:kern w:val="0"/>
                <w:sz w:val="21"/>
                <w:szCs w:val="21"/>
                <w:highlight w:val="none"/>
              </w:rPr>
            </w:pPr>
            <w:r>
              <w:rPr>
                <w:rFonts w:hint="eastAsia" w:ascii="宋体" w:hAnsi="宋体" w:eastAsia="宋体" w:cs="宋体"/>
                <w:b/>
                <w:bCs/>
                <w:color w:val="auto"/>
                <w:sz w:val="21"/>
                <w:szCs w:val="21"/>
                <w:highlight w:val="none"/>
              </w:rPr>
              <w:t>安全附件校验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3.1.11.1</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安全附件校验</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安全附件安装应符合设计及相关标准要求。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《石油化工静设备安装工程施工质量验收规范》GB50461-2008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4.7.1 安全阀安装前，应按设计文件规定进行调试。调试后的安全阀应加铅封，并封堵端口。</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4.7.2 压力表液位计、流量计、测量仪表等安装前应经校验合格并加封印。安全附件安装应朝向便于观察的位置。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3.1.12</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color w:val="auto"/>
                <w:spacing w:val="-6"/>
                <w:kern w:val="0"/>
                <w:sz w:val="21"/>
                <w:szCs w:val="21"/>
                <w:highlight w:val="none"/>
              </w:rPr>
            </w:pPr>
            <w:r>
              <w:rPr>
                <w:rFonts w:hint="eastAsia" w:ascii="宋体" w:hAnsi="宋体" w:eastAsia="宋体" w:cs="宋体"/>
                <w:b/>
                <w:bCs/>
                <w:color w:val="auto"/>
                <w:sz w:val="21"/>
                <w:szCs w:val="21"/>
                <w:highlight w:val="none"/>
              </w:rPr>
              <w:t>设备调试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3.1.12.1</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设备调试</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一般要求。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《石油化工静设备安装工程施工质量验收规范》GB50461-2008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6.1.1 现场组焊的设备进行耐压试验前，应对下列条件进行确认：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设备本体及与本体相焊的焊接和检验工作全部完成。</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需要进行焊后热处理的设备，热处理工作已完成。</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设备开孔补强圈焊缝用0.4〜0.5MPa的压缩空气检查焊接接头质量合格。</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已安装的设备找正、找平工作已完成。</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基础二次灌浆达到设计强度要求。</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6.1.3 耐压试验应</w:t>
            </w:r>
            <w:r>
              <w:rPr>
                <w:rFonts w:hint="eastAsia" w:ascii="宋体" w:hAnsi="宋体" w:eastAsia="宋体" w:cs="宋体"/>
                <w:color w:val="auto"/>
                <w:sz w:val="21"/>
                <w:szCs w:val="21"/>
                <w:highlight w:val="none"/>
                <w:lang w:eastAsia="zh-CN"/>
              </w:rPr>
              <w:t>采用</w:t>
            </w:r>
            <w:r>
              <w:rPr>
                <w:rFonts w:hint="eastAsia" w:ascii="宋体" w:hAnsi="宋体" w:eastAsia="宋体" w:cs="宋体"/>
                <w:color w:val="auto"/>
                <w:sz w:val="21"/>
                <w:szCs w:val="21"/>
                <w:highlight w:val="none"/>
              </w:rPr>
              <w:t>液压试验，若</w:t>
            </w:r>
            <w:r>
              <w:rPr>
                <w:rFonts w:hint="eastAsia" w:ascii="宋体" w:hAnsi="宋体" w:eastAsia="宋体" w:cs="宋体"/>
                <w:color w:val="auto"/>
                <w:sz w:val="21"/>
                <w:szCs w:val="21"/>
                <w:highlight w:val="none"/>
                <w:lang w:eastAsia="zh-CN"/>
              </w:rPr>
              <w:t>采用</w:t>
            </w:r>
            <w:r>
              <w:rPr>
                <w:rFonts w:hint="eastAsia" w:ascii="宋体" w:hAnsi="宋体" w:eastAsia="宋体" w:cs="宋体"/>
                <w:color w:val="auto"/>
                <w:sz w:val="21"/>
                <w:szCs w:val="21"/>
                <w:highlight w:val="none"/>
              </w:rPr>
              <w:t>气压试验代替液压试验时，必须符合下列规定：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压力容器的焊接接头进行100%射线或超声检测，执行标 准和合格级别执行原设计文件的规定。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非压力容器的焊接接头进行25%射线或超声检测，合格级别射线检测为Ⅲ级、超声检测为Ⅱ级。</w:t>
            </w:r>
          </w:p>
          <w:p>
            <w:pPr>
              <w:pStyle w:val="2"/>
              <w:keepNext w:val="0"/>
              <w:keepLines w:val="0"/>
              <w:pageBreakBefore w:val="0"/>
              <w:kinsoku/>
              <w:wordWrap/>
              <w:overflowPunct/>
              <w:topLinePunct w:val="0"/>
              <w:autoSpaceDE/>
              <w:autoSpaceDN/>
              <w:bidi w:val="0"/>
              <w:spacing w:line="260" w:lineRule="atLeast"/>
              <w:ind w:left="0" w:leftChars="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有本单位技术总负责人批准的安全措施。</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6.1.4 试验用压力表应符合下列规定：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应在设备最高处和最低处各设置一块量程相同并经检定合格的压力表。</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设备设计压力小于1.6MPa时，压力表的精度等级不应低于2.5级；设计压力大于或等于1.6MPa时，不应低于1.5级。</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压力表的量程不应小于1.5倍且不应大于3倍的试验压力；压力表的直径不应小于100mm。</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6.1.5 真空设备和外压设备应以内压进行耐压试验，差压设备耐压试验时应检查压差，其值均不得超过设计文件的规定值。</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6.1.7立式设备以卧置进行液压试验时，试验压力应为立置时的试验压力加液柱静压力，并应对设备顶部进行应力校核。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3.1.12.2</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设备调试</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液压试验应符合设计及相关标准要求。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石油化工静设备安装工程施工质量验收规范》GB50461-2008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6.2.1 试验介质宜采用工业用水。奥氏体不锈钢设备用水作介质时，水质氯离子含量不得超过25mg/L。试验介质也可采用不会导致发生危险的其他液体。</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6.2.2 试验介质的温度应符合下列规定：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碳素钢、Q345R、Q370R制设备液压试验时，液体温度不得低于5℃；其他低合金钢制设备液压试验时，液体温度不得低于15℃</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由于板厚等因素造成材料无延性转变温度升高及其他材料制设备液压试验时，液体的温度按设计文件规定执行。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6.2.3 液压试验时，设备外表面应保持干燥，当设备壁温与液体温度接近时，缓慢升压至设计压力；确认无泄漏后继续升压至规定的试验压力，保压时间不少于30min；然后将压力降至规定试验压力的80%，对所有焊接接头和连接部位进行全面检查，符合下列规定为合格：</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无渗漏。</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无可见的</w:t>
            </w:r>
            <w:r>
              <w:rPr>
                <w:rFonts w:hint="eastAsia" w:ascii="宋体" w:hAnsi="宋体" w:eastAsia="宋体" w:cs="宋体"/>
                <w:color w:val="auto"/>
                <w:sz w:val="21"/>
                <w:szCs w:val="21"/>
                <w:highlight w:val="none"/>
                <w:lang w:val="zh-CN" w:bidi="zh-CN"/>
              </w:rPr>
              <w:t>变形。</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试验过程无异常的响声。</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6.2.4 对在基础上做液压试验且容积大于</w:t>
            </w:r>
            <w:r>
              <w:rPr>
                <w:rFonts w:hint="eastAsia" w:ascii="宋体" w:hAnsi="宋体" w:eastAsia="宋体" w:cs="宋体"/>
                <w:color w:val="auto"/>
                <w:sz w:val="21"/>
                <w:szCs w:val="21"/>
                <w:highlight w:val="none"/>
                <w:lang w:val="en-US" w:bidi="zh-CN"/>
              </w:rPr>
              <w:t>100</w:t>
            </w:r>
            <w:r>
              <w:rPr>
                <w:rFonts w:hint="eastAsia" w:ascii="宋体" w:hAnsi="宋体" w:eastAsia="宋体" w:cs="宋体"/>
                <w:color w:val="auto"/>
                <w:sz w:val="21"/>
                <w:szCs w:val="21"/>
                <w:highlight w:val="none"/>
                <w:lang w:bidi="zh-CN"/>
              </w:rPr>
              <w:t>m的设备，液压试验的同时常在充液前、充液1/3时、充液2/3时、充满液后24h时、放液后，应作基础沉降观测。基础沉降应均匀，不均匀沉降量应符合设计文件的规定。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3.1.12.3</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设备调试</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气压试验应符合设计及相关标准要求。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《石油化工静设备安装工程施工质量验收规范》GB50461-2008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6.3.1 气压试验所用气体应为干燥、洁净的空气、氮气或惰性气体。</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6.3.2 气压试验时的气体温度应符合如下规定：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1 碳素钢和低合金钢制设备，气压试验时气体温度不得低于15℃。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其他材料制设备，气压试验时气体温度按设计文件规定。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6.3.3 气压试验时，应按下列程序进行升压和检查：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缓慢升压至规定试验压力的10%，且不超过0.05MPa，保压5min，对所有焊缝和连接部位进行初次泄漏检查。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初次泄漏检查合格后，继续缓慢升压至规定试验压力</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50%，观察有无异常现象。</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如无异常现象，继续按规定试验压力的10%逐级升压</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直至达到试验压力止，保压时间不少于30min，</w:t>
            </w:r>
            <w:r>
              <w:rPr>
                <w:rFonts w:hint="eastAsia" w:ascii="宋体" w:hAnsi="宋体" w:eastAsia="宋体" w:cs="宋体"/>
                <w:color w:val="auto"/>
                <w:sz w:val="21"/>
                <w:szCs w:val="21"/>
                <w:highlight w:val="none"/>
                <w:lang w:eastAsia="zh-CN"/>
              </w:rPr>
              <w:t>然后</w:t>
            </w:r>
            <w:r>
              <w:rPr>
                <w:rFonts w:hint="eastAsia" w:ascii="宋体" w:hAnsi="宋体" w:eastAsia="宋体" w:cs="宋体"/>
                <w:color w:val="auto"/>
                <w:sz w:val="21"/>
                <w:szCs w:val="21"/>
                <w:highlight w:val="none"/>
              </w:rPr>
              <w:t>将压力降至规定试验压力的87%，对所有焊接接头和连接部位进行全面检查。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4 试验过程无异常响声，设备为可见的变形，焊缝和连接部位等用检漏液检查，无泄漏为合格。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3.1.12.4</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设备调试</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气密试验</w:t>
            </w:r>
            <w:r>
              <w:rPr>
                <w:rFonts w:hint="eastAsia" w:ascii="宋体" w:hAnsi="宋体" w:eastAsia="宋体" w:cs="宋体"/>
                <w:color w:val="auto"/>
                <w:sz w:val="21"/>
                <w:szCs w:val="21"/>
                <w:highlight w:val="none"/>
              </w:rPr>
              <w:t>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《石油化工静设备安装工程施工质量验收规范》GB50461-2008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6.4.1 气密试验应在耐压试验合格后进行。对进行气压试验的设备，气密试验可在气压试验压力降到气密试验压力后一并进行。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6.4.2 气密试验时的气体温度应符合本规范第6.3.2条的规定。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6.4.3 气密试验时应将安全附件装配齐全。</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6.4.4 气密试验时，压力应缓慢上升，达到试验压力后，保压时间不应少于30min，同时对焊缝和连接部位等用检漏液检查，无泄漏为合格。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3.1.12.5</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设备调试</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充水试漏应符合设计及相关标准要求。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《石油化工静设备安装工程施工质量验收规范》GB50461-2008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6.5.1 充水试漏应符合下列规定：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充水试漏前应将焊接接头的外表面清理干净，并使之干燥。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试漏的持续时间应根据检查所需时间决定，但不得少于lh。</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3 焊接接头无渗漏为合格。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3.1.13</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color w:val="auto"/>
                <w:spacing w:val="-6"/>
                <w:kern w:val="0"/>
                <w:sz w:val="21"/>
                <w:szCs w:val="21"/>
                <w:highlight w:val="none"/>
              </w:rPr>
            </w:pPr>
            <w:r>
              <w:rPr>
                <w:rFonts w:hint="eastAsia" w:ascii="宋体" w:hAnsi="宋体" w:eastAsia="宋体" w:cs="宋体"/>
                <w:b/>
                <w:bCs/>
                <w:color w:val="auto"/>
                <w:sz w:val="21"/>
                <w:szCs w:val="21"/>
                <w:highlight w:val="none"/>
              </w:rPr>
              <w:t>仪表试验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3.1.13.1</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仪表试验</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一般要求。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《自动化仪表工程施工及质量验收规范》GB50093-2013 </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12.1.1 仪表在安装和使用前应进行检查、校准和试验。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12.1.2 仪表安装前的校准和试验应在室内进行。试验室应具备下列条件：</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室内应清洁、安静、光线充足，并应无振动、无对仪表及线路的电磁场干扰。</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室内温度宜</w:t>
            </w:r>
            <w:r>
              <w:rPr>
                <w:rFonts w:hint="eastAsia" w:ascii="宋体" w:hAnsi="宋体" w:eastAsia="宋体" w:cs="宋体"/>
                <w:color w:val="auto"/>
                <w:sz w:val="21"/>
                <w:szCs w:val="21"/>
                <w:highlight w:val="none"/>
                <w:lang w:eastAsia="zh-CN"/>
              </w:rPr>
              <w:t>为</w:t>
            </w:r>
            <w:r>
              <w:rPr>
                <w:rFonts w:hint="eastAsia" w:ascii="宋体" w:hAnsi="宋体" w:eastAsia="宋体" w:cs="宋体"/>
                <w:color w:val="auto"/>
                <w:sz w:val="21"/>
                <w:szCs w:val="21"/>
                <w:highlight w:val="none"/>
              </w:rPr>
              <w:t>lO℃~35℃.</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12.1.3 仪表试验的电源电压应稳定。交流电源及 60 </w:t>
            </w:r>
            <w:r>
              <w:rPr>
                <w:rFonts w:hint="eastAsia" w:ascii="宋体" w:hAnsi="宋体" w:eastAsia="宋体" w:cs="宋体"/>
                <w:color w:val="auto"/>
                <w:sz w:val="21"/>
                <w:szCs w:val="21"/>
                <w:highlight w:val="none"/>
                <w:lang w:eastAsia="zh-CN"/>
              </w:rPr>
              <w:t>V</w:t>
            </w:r>
            <w:r>
              <w:rPr>
                <w:rFonts w:hint="eastAsia" w:ascii="宋体" w:hAnsi="宋体" w:eastAsia="宋体" w:cs="宋体"/>
                <w:color w:val="auto"/>
                <w:sz w:val="21"/>
                <w:szCs w:val="21"/>
                <w:highlight w:val="none"/>
              </w:rPr>
              <w:t>以上的直流电源电压波动范围应为±10 %。60</w:t>
            </w:r>
            <w:r>
              <w:rPr>
                <w:rFonts w:hint="eastAsia" w:ascii="宋体" w:hAnsi="宋体" w:eastAsia="宋体" w:cs="宋体"/>
                <w:color w:val="auto"/>
                <w:sz w:val="21"/>
                <w:szCs w:val="21"/>
                <w:highlight w:val="none"/>
                <w:lang w:eastAsia="zh-CN"/>
              </w:rPr>
              <w:t>V</w:t>
            </w:r>
            <w:r>
              <w:rPr>
                <w:rFonts w:hint="eastAsia" w:ascii="宋体" w:hAnsi="宋体" w:eastAsia="宋体" w:cs="宋体"/>
                <w:color w:val="auto"/>
                <w:sz w:val="21"/>
                <w:szCs w:val="21"/>
                <w:highlight w:val="none"/>
              </w:rPr>
              <w:t>以下的直流电源电压波动范围应为±5%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12.1.4 仪表试验的气源应清洁、干燥，露点应低于最低环境温度lO℃以上。气源压力应稳定。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12.1.5 仪表工程在系统投用前应进行回路试验。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12.1.6 仪表回路试验的电源和气源宜由正式电源和气源供给。</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12.1.7 用于仪表校准和试验的标准仪器仪表，应具备有效的计量检定合格证明，其基本误差的绝对值不宜超过被校准仪表基本误差绝对值</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1/ 3。</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12.1.8 仪表校准和试验的条件、项目、方法应符合设计文件的规定。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12.1.9 施工现场不具备校准条件的仪表，可对检定合格证明的有效性进行验证。</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12.1.10 设计文件规定禁油和脱脂的仪表在校准和试验时，必须按其规定进行。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12.1.11 单台仪表的校准点应在仪表全量程范围内均匀选取，不应少</w:t>
            </w:r>
            <w:r>
              <w:rPr>
                <w:rFonts w:hint="eastAsia" w:ascii="宋体" w:hAnsi="宋体" w:eastAsia="宋体" w:cs="宋体"/>
                <w:color w:val="auto"/>
                <w:sz w:val="21"/>
                <w:szCs w:val="21"/>
                <w:highlight w:val="none"/>
                <w:lang w:eastAsia="zh-CN"/>
              </w:rPr>
              <w:t>于</w:t>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eastAsia="zh-CN"/>
              </w:rPr>
              <w:t>点</w:t>
            </w:r>
            <w:r>
              <w:rPr>
                <w:rFonts w:hint="eastAsia" w:ascii="宋体" w:hAnsi="宋体" w:eastAsia="宋体" w:cs="宋体"/>
                <w:color w:val="auto"/>
                <w:sz w:val="21"/>
                <w:szCs w:val="21"/>
                <w:highlight w:val="none"/>
              </w:rPr>
              <w:t>。当进行回路试验时，仪表校准点不应少</w:t>
            </w:r>
            <w:r>
              <w:rPr>
                <w:rFonts w:hint="eastAsia" w:ascii="宋体" w:hAnsi="宋体" w:eastAsia="宋体" w:cs="宋体"/>
                <w:color w:val="auto"/>
                <w:sz w:val="21"/>
                <w:szCs w:val="21"/>
                <w:highlight w:val="none"/>
                <w:lang w:eastAsia="zh-CN"/>
              </w:rPr>
              <w:t>于</w:t>
            </w: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eastAsia="zh-CN"/>
              </w:rPr>
              <w:t>点</w:t>
            </w:r>
            <w:r>
              <w:rPr>
                <w:rFonts w:hint="eastAsia" w:ascii="宋体" w:hAnsi="宋体" w:eastAsia="宋体" w:cs="宋体"/>
                <w:color w:val="auto"/>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3.1.13.2</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仪表试验</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单台仪表校准和试验应</w:t>
            </w:r>
            <w:r>
              <w:rPr>
                <w:rFonts w:hint="eastAsia" w:ascii="宋体" w:hAnsi="宋体" w:eastAsia="宋体" w:cs="宋体"/>
                <w:color w:val="auto"/>
                <w:sz w:val="21"/>
                <w:szCs w:val="21"/>
                <w:highlight w:val="none"/>
              </w:rPr>
              <w:t>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《自动化仪表工程施工及质量验收规范》GB50093-2013 </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12.2.1 指针式显示仪表的校准和试验应符合下列要求：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面板应清洁，刻度和字迹应清晰。</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指针在全标度范围内移动应平稳、灵活。其示值误差、回程误差应符合仪表准确度的规定。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在规定的工作条件下倾斜或轻敲表壳后，指针位移应符合仪表准确度的规定。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12.2.2 数字式显示仪表的示值应清晰、稳定，在测量范围内其示值误差应符合仪表准确度的规定。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12.2.3 指针式记录仪表的校准和试验应符合下列要求：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指针在全标度范围内的示值误差和回程误差应符合仪表准确度的规定。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记录机构的画线或打印点应清晰，打印纸移动应正常。</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3 记录纸上打印的号码或颜色应与切换开关及接线端子上标识的编号一致。</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12.2.5 变送器、转换器应进行输入输出特性试验和校准，其准确度应符合设计文件的规定，输入输出信号范围和类型应与铭牌标识、设计文件规定一致，并应与显示仪表配套。</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12.2.6 温度检测仪表的校准试验点不应少于2点。直接显示温度计的示值误差应符合仪表准确度的规定。热电偶和热电阻可在常温下对元件进行检测，可不进行热电性能试验。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12.2.8 现场不具备校准条件的流量检测仪表，应对制造厂的产品合格证和有效的检定证明进行验证。</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12.2.16 控制仪表的显示部分应 按本节</w:t>
            </w:r>
            <w:r>
              <w:rPr>
                <w:rFonts w:hint="eastAsia" w:ascii="宋体" w:hAnsi="宋体" w:eastAsia="宋体" w:cs="宋体"/>
                <w:color w:val="auto"/>
                <w:sz w:val="21"/>
                <w:szCs w:val="21"/>
                <w:highlight w:val="none"/>
                <w:lang w:eastAsia="zh-CN"/>
              </w:rPr>
              <w:t>第</w:t>
            </w:r>
            <w:r>
              <w:rPr>
                <w:rFonts w:hint="eastAsia" w:ascii="宋体" w:hAnsi="宋体" w:eastAsia="宋体" w:cs="宋体"/>
                <w:color w:val="auto"/>
                <w:sz w:val="21"/>
                <w:szCs w:val="21"/>
                <w:highlight w:val="none"/>
              </w:rPr>
              <w:t>12.2.1</w:t>
            </w:r>
            <w:r>
              <w:rPr>
                <w:rFonts w:hint="eastAsia" w:ascii="宋体" w:hAnsi="宋体" w:eastAsia="宋体" w:cs="宋体"/>
                <w:color w:val="auto"/>
                <w:sz w:val="21"/>
                <w:szCs w:val="21"/>
                <w:highlight w:val="none"/>
                <w:lang w:eastAsia="zh-CN"/>
              </w:rPr>
              <w:t>条</w:t>
            </w:r>
            <w:r>
              <w:rPr>
                <w:rFonts w:hint="eastAsia" w:ascii="宋体" w:hAnsi="宋体" w:eastAsia="宋体" w:cs="宋体"/>
                <w:color w:val="auto"/>
                <w:sz w:val="21"/>
                <w:szCs w:val="21"/>
                <w:highlight w:val="none"/>
              </w:rPr>
              <w:t>、第12.2.2</w:t>
            </w:r>
            <w:r>
              <w:rPr>
                <w:rFonts w:hint="eastAsia" w:ascii="宋体" w:hAnsi="宋体" w:eastAsia="宋体" w:cs="宋体"/>
                <w:color w:val="auto"/>
                <w:sz w:val="21"/>
                <w:szCs w:val="21"/>
                <w:highlight w:val="none"/>
                <w:lang w:eastAsia="zh-CN"/>
              </w:rPr>
              <w:t>条</w:t>
            </w:r>
            <w:r>
              <w:rPr>
                <w:rFonts w:hint="eastAsia" w:ascii="宋体" w:hAnsi="宋体" w:eastAsia="宋体" w:cs="宋体"/>
                <w:color w:val="auto"/>
                <w:sz w:val="21"/>
                <w:szCs w:val="21"/>
                <w:highlight w:val="none"/>
              </w:rPr>
              <w:t>的规定进行校准，仪表的控制点误差，比例、积分、微分作用，信号处理及各项控制、操作性能，均应按设计文件规定进行检查、试验、校准和调整，并应进行有关组态模式设置和调节参数预整定。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12.2.17 控制阀和执行机构的试验应符合下列要求：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阀体压力试验和阀座密封试验等项目，可对制造厂出具的产品合格证明和试验报告进行验证，对事故切断阀应进行阀座密封试验。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应进行膜头、缸体泄漏性试验以及行程试验。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事故切断阀和设计规定全行程时间的阀门，应进行全行程时间试验。</w:t>
            </w:r>
          </w:p>
          <w:p>
            <w:pPr>
              <w:pStyle w:val="2"/>
              <w:keepNext w:val="0"/>
              <w:keepLines w:val="0"/>
              <w:pageBreakBefore w:val="0"/>
              <w:kinsoku/>
              <w:wordWrap/>
              <w:overflowPunct/>
              <w:topLinePunct w:val="0"/>
              <w:autoSpaceDE/>
              <w:autoSpaceDN/>
              <w:bidi w:val="0"/>
              <w:spacing w:line="260" w:lineRule="atLeast"/>
              <w:ind w:left="0" w:leftChars="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执行机构在试验时应调整到设计文件规定的工作状态。</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12.2.18 现场总线仪表应用总线通信器检查设备内部参数。</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CN"/>
              </w:rPr>
              <w:t>12.2.19 单台仪表校准和试验应填写校准和试验记录；仪表上应有试验状态标识和位号标识；仪表需加封印和漆封的部位应加封印和漆封。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3.1.13.3</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仪表试验</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仪表电源设备试验应符合设计及相关标准要求。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《自动化仪表工程施工及质量验收规范》GB50093-2013 </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12.3.1 电源设备的带电部分与金属外壳之间的绝缘电阻，当</w:t>
            </w:r>
            <w:r>
              <w:rPr>
                <w:rFonts w:hint="eastAsia" w:ascii="宋体" w:hAnsi="宋体" w:eastAsia="宋体" w:cs="宋体"/>
                <w:color w:val="auto"/>
                <w:sz w:val="21"/>
                <w:szCs w:val="21"/>
                <w:highlight w:val="none"/>
                <w:lang w:eastAsia="zh-CN"/>
              </w:rPr>
              <w:t>采用</w:t>
            </w:r>
            <w:r>
              <w:rPr>
                <w:rFonts w:hint="eastAsia" w:ascii="宋体" w:hAnsi="宋体" w:eastAsia="宋体" w:cs="宋体"/>
                <w:color w:val="auto"/>
                <w:sz w:val="21"/>
                <w:szCs w:val="21"/>
                <w:highlight w:val="none"/>
              </w:rPr>
              <w:t>500</w:t>
            </w:r>
            <w:r>
              <w:rPr>
                <w:rFonts w:hint="eastAsia" w:ascii="宋体" w:hAnsi="宋体" w:eastAsia="宋体" w:cs="宋体"/>
                <w:color w:val="auto"/>
                <w:sz w:val="21"/>
                <w:szCs w:val="21"/>
                <w:highlight w:val="none"/>
                <w:lang w:eastAsia="zh-CN"/>
              </w:rPr>
              <w:t>V</w:t>
            </w:r>
            <w:r>
              <w:rPr>
                <w:rFonts w:hint="eastAsia" w:ascii="宋体" w:hAnsi="宋体" w:eastAsia="宋体" w:cs="宋体"/>
                <w:color w:val="auto"/>
                <w:sz w:val="21"/>
                <w:szCs w:val="21"/>
                <w:highlight w:val="none"/>
              </w:rPr>
              <w:t>兆欧表测量时，不应小</w:t>
            </w:r>
            <w:r>
              <w:rPr>
                <w:rFonts w:hint="eastAsia" w:ascii="宋体" w:hAnsi="宋体" w:eastAsia="宋体" w:cs="宋体"/>
                <w:color w:val="auto"/>
                <w:sz w:val="21"/>
                <w:szCs w:val="21"/>
                <w:highlight w:val="none"/>
                <w:lang w:eastAsia="zh-CN"/>
              </w:rPr>
              <w:t>于</w:t>
            </w:r>
            <w:r>
              <w:rPr>
                <w:rFonts w:hint="eastAsia" w:ascii="宋体" w:hAnsi="宋体" w:eastAsia="宋体" w:cs="宋体"/>
                <w:color w:val="auto"/>
                <w:sz w:val="21"/>
                <w:szCs w:val="21"/>
                <w:highlight w:val="none"/>
              </w:rPr>
              <w:t>5MO。</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12.3.2 电源设备应进行输出特性检查。</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12.3.3 不间断电源应进行自动切换性能试验。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3.1.13.4</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仪表试验</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综合控制系统试验应符合设计及相关标准要求。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《自动化仪表工程施工及质量验收规范》GB50093-2013 </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12.4.1 综合控制系统在回路试验和系统试验前应在控制室内对系统本身进行试验。试验项目应包括组成系统的各操作站、工程师站、控制站、个人计算机和管理计算机、总线和通信网络等设备的硬件和软件的有关功能试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12.4.2 综合控制系统的试验应在本系统安装完毕，且供电、照明、空调等有关设施均</w:t>
            </w:r>
            <w:r>
              <w:rPr>
                <w:rFonts w:hint="eastAsia" w:ascii="宋体" w:hAnsi="宋体" w:eastAsia="宋体" w:cs="宋体"/>
                <w:color w:val="auto"/>
                <w:sz w:val="21"/>
                <w:szCs w:val="21"/>
                <w:highlight w:val="none"/>
                <w:lang w:eastAsia="zh-CN"/>
              </w:rPr>
              <w:t>已投入</w:t>
            </w:r>
            <w:r>
              <w:rPr>
                <w:rFonts w:hint="eastAsia" w:ascii="宋体" w:hAnsi="宋体" w:eastAsia="宋体" w:cs="宋体"/>
                <w:color w:val="auto"/>
                <w:sz w:val="21"/>
                <w:szCs w:val="21"/>
                <w:highlight w:val="none"/>
              </w:rPr>
              <w:t>运行的条件下进行。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12.4.3 综合控制系统的试验应按批准的试验方案进行。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12.4.4 综合控制系统的硬件试验项目应包括下列内容：</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应进行盘柜和仪表装置的绝缘电阻测量。</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应进行接地系统检查和接地电阻测量。</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应进行电源设备和电源插卡各种输出电压的测量和调整。</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应对系统中全部设备和全部模块插卡的通电状态进行检查。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应对系统中单独的显示、记录、控制、报警等仪表设备进行单台校准和试验。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 应通过直接信号显示和软件诊断程序，对装置内的模块插卡、控制和通信设备、操作站、控制站、计算机及其外部设备等进行状态检查。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 应进行输入、输出模块插卡的校准和试验。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12.4.5 综合控制系统的软件试验项目应包括下列功能：</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系统显示、运算处理、操作、控制、报警功能的检查试验。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系统诊断、维护功能的检查试验。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系统冗余功能的检查试验。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4 系统总线、网络通信功能的检查试验。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5 系统记录、打印、拷贝等功能的检查试验。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 与工程有关的组态数据的检查确认。</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7  控制方案、控制和联锁程序的检查。</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12.4.6 可编程序控制器应进行下列试验：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应模拟输入条件进行逻辑、控制功能试验，同时应检测逻辑控制输出。</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具有模拟量控制的系统，应进行模拟量输入和模拟量输出试验，同时应进行运算、控制功能试验。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12.4.7 分散控制系统应进行下列试验：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应进行系统通信功能试验。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应进行系统操作画面功能试验。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应模拟输入进行运算功能、控制功能、报警联锁功能试验，在操作站应查看对应功能显示，同时应测量相应控制输出值。</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4 应进行系统冗余功能、断电恢复功能试验。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5 系统报表打印、拷贝、历史数据查询等功能试验。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 工程师站操作、维护、修改功能检查试验。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12.4.8  现场总线控制系统应进行下列试验：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 应进行系统通信线路检查，通信功能检查试验，总线地址分配检查。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2 应进行总线系统供电检查试验。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3 应进行系统操作画面功能试验。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4 应模拟现场总线设备进行系统运算、控制、报警联锁功能检查试验，应进行操作画面试验。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5 应进行系统冗余功能检查试验。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6 应进行系统报表、打印、历史数据查询等功能检查试验。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7 应进行工程师站操作、维护、修改功能检查试验。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3.1.13.5</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仪表试验</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回路试验和系统试验应符合设计及相关标准要求。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《自动化仪表工程施工及质量验收规范》GB50093-2013 </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12.5.4 检测回路的试验应符合下列要求：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在检测回路的信号</w:t>
            </w:r>
            <w:r>
              <w:rPr>
                <w:rFonts w:hint="eastAsia" w:ascii="宋体" w:hAnsi="宋体" w:eastAsia="宋体" w:cs="宋体"/>
                <w:color w:val="auto"/>
                <w:sz w:val="21"/>
                <w:szCs w:val="21"/>
                <w:highlight w:val="none"/>
                <w:lang w:eastAsia="zh-CN"/>
              </w:rPr>
              <w:t>输入</w:t>
            </w:r>
            <w:r>
              <w:rPr>
                <w:rFonts w:hint="eastAsia" w:ascii="宋体" w:hAnsi="宋体" w:eastAsia="宋体" w:cs="宋体"/>
                <w:color w:val="auto"/>
                <w:sz w:val="21"/>
                <w:szCs w:val="21"/>
                <w:highlight w:val="none"/>
              </w:rPr>
              <w:t>端</w:t>
            </w:r>
            <w:r>
              <w:rPr>
                <w:rFonts w:hint="eastAsia" w:ascii="宋体" w:hAnsi="宋体" w:eastAsia="宋体" w:cs="宋体"/>
                <w:color w:val="auto"/>
                <w:sz w:val="21"/>
                <w:szCs w:val="21"/>
                <w:highlight w:val="none"/>
                <w:lang w:eastAsia="zh-CN"/>
              </w:rPr>
              <w:t>输入</w:t>
            </w:r>
            <w:r>
              <w:rPr>
                <w:rFonts w:hint="eastAsia" w:ascii="宋体" w:hAnsi="宋体" w:eastAsia="宋体" w:cs="宋体"/>
                <w:color w:val="auto"/>
                <w:sz w:val="21"/>
                <w:szCs w:val="21"/>
                <w:highlight w:val="none"/>
              </w:rPr>
              <w:t>模拟被测变量的标准信号</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回路的显示仪表部分的示值误差，不应超过回路内各单台仪表允许基本误差平方和的平方根值。</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温度检测回路可在检测元件的输出端向回路输入电阻值或</w:t>
            </w:r>
            <w:r>
              <w:rPr>
                <w:rFonts w:hint="eastAsia" w:ascii="宋体" w:hAnsi="宋体" w:eastAsia="宋体" w:cs="宋体"/>
                <w:color w:val="auto"/>
                <w:sz w:val="21"/>
                <w:szCs w:val="21"/>
                <w:highlight w:val="none"/>
                <w:lang w:eastAsia="zh-CN"/>
              </w:rPr>
              <w:t>毫伏</w:t>
            </w:r>
            <w:r>
              <w:rPr>
                <w:rFonts w:hint="eastAsia" w:ascii="宋体" w:hAnsi="宋体" w:eastAsia="宋体" w:cs="宋体"/>
                <w:color w:val="auto"/>
                <w:sz w:val="21"/>
                <w:szCs w:val="21"/>
                <w:highlight w:val="none"/>
              </w:rPr>
              <w:t>值模拟信号。</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现场不具备模拟被测变量信号的回路，应在其可模拟</w:t>
            </w:r>
            <w:r>
              <w:rPr>
                <w:rFonts w:hint="eastAsia" w:ascii="宋体" w:hAnsi="宋体" w:eastAsia="宋体" w:cs="宋体"/>
                <w:color w:val="auto"/>
                <w:sz w:val="21"/>
                <w:szCs w:val="21"/>
                <w:highlight w:val="none"/>
                <w:lang w:eastAsia="zh-CN"/>
              </w:rPr>
              <w:t>输入信号</w:t>
            </w:r>
            <w:r>
              <w:rPr>
                <w:rFonts w:hint="eastAsia" w:ascii="宋体" w:hAnsi="宋体" w:eastAsia="宋体" w:cs="宋体"/>
                <w:color w:val="auto"/>
                <w:sz w:val="21"/>
                <w:szCs w:val="21"/>
                <w:highlight w:val="none"/>
              </w:rPr>
              <w:t>的最前端输入信号进行回路试验。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12.5.5 控制回路的试验应符合下列规定：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控制器和执行器的作用方向应符合设计文件要求。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通过控制器或操作站的输出向执行器发送控制信号，检查执行器的全行程动作方向和位置应正确。执行器带有定位器时应同时试验。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当控制器或操作站上有执行器的开度和起点、终点信号显示时应同时进行检查和试验。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12.5.5 控制回路的试验应符合下列规定：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控制器和执行器的作用方向应符合设计文件要求。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通过控制器或操作站的输出向执行器发送控制信号，检查执行器的全行程动作方向和位置应正确。执行器带有定位器时应同时试验。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3 当控制器或操作站上有执行器的开度和起</w:t>
            </w:r>
            <w:r>
              <w:rPr>
                <w:rFonts w:hint="eastAsia" w:ascii="宋体" w:hAnsi="宋体" w:eastAsia="宋体" w:cs="宋体"/>
                <w:color w:val="auto"/>
                <w:sz w:val="21"/>
                <w:szCs w:val="21"/>
                <w:highlight w:val="none"/>
                <w:lang w:bidi="zh-CN"/>
              </w:rPr>
              <w:t>点、终点信号显示时应同时进行检查和试验。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12.5.6 报警系统的试验应符合下列要求：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系统中有报警信号的仪表设备，包括各种检测报警开关、仪表的报警输出部件和接点，应根据设计文件规定的设定值进行整定。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在报警回路的信号发生端模拟输入信号，检查报警灯光、音响和屏幕显示应正确。报警点整定后宜在调整器件上加封记。</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3 报警的消音、复位和记录功能应正确。</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lang w:bidi="zh-CN"/>
              </w:rPr>
              <w:t>12.5.7 程序控制系统和联锁系统的试验应符合下列要求：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程序控制系统和联锁系统有关装置的硬件和软件功能试验应已完成，系统相关的回路试验应已完成。</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系统中的各有关仪表和部件的动作设定值，应根据设计文件规定进行整定。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联锁点多、程序复杂的系统，可先分项、分段进行试验，再进行整体检查试验。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程序控制系统的试验应按程序设计的步骤逐步检查试验，其条件判定、逻辑关系、动作时间和输出状态等均应符合设计文件规定。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在进行系统功能试验时，可采用已试验整定合格的仪表和检测报警开关的报警输出接点直接发出模拟条件信号。</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CN"/>
              </w:rPr>
            </w:pPr>
            <w:r>
              <w:rPr>
                <w:rFonts w:hint="eastAsia" w:ascii="宋体" w:hAnsi="宋体" w:eastAsia="宋体" w:cs="宋体"/>
                <w:color w:val="auto"/>
                <w:sz w:val="21"/>
                <w:szCs w:val="21"/>
                <w:highlight w:val="none"/>
              </w:rPr>
              <w:t>6 系统试验中应与相关的专业配合，共同确认程序运行和联锁保护条件及功能的正确性，</w:t>
            </w:r>
            <w:r>
              <w:rPr>
                <w:rFonts w:hint="eastAsia" w:ascii="宋体" w:hAnsi="宋体" w:eastAsia="宋体" w:cs="宋体"/>
                <w:color w:val="auto"/>
                <w:sz w:val="21"/>
                <w:szCs w:val="21"/>
                <w:highlight w:val="none"/>
                <w:lang w:eastAsia="zh-CN"/>
              </w:rPr>
              <w:t>并</w:t>
            </w:r>
            <w:r>
              <w:rPr>
                <w:rFonts w:hint="eastAsia" w:ascii="宋体" w:hAnsi="宋体" w:eastAsia="宋体" w:cs="宋体"/>
                <w:color w:val="auto"/>
                <w:sz w:val="21"/>
                <w:szCs w:val="21"/>
                <w:highlight w:val="none"/>
              </w:rPr>
              <w:t>应对试验过程中相关设备和装置</w:t>
            </w:r>
            <w:r>
              <w:rPr>
                <w:rFonts w:hint="eastAsia" w:ascii="宋体" w:hAnsi="宋体" w:eastAsia="宋体" w:cs="宋体"/>
                <w:color w:val="auto"/>
                <w:sz w:val="21"/>
                <w:szCs w:val="21"/>
                <w:highlight w:val="none"/>
                <w:lang w:bidi="zh-CN"/>
              </w:rPr>
              <w:t>的运行状态和安全防护采取必要措施。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pacing w:val="-6"/>
                <w:sz w:val="21"/>
                <w:szCs w:val="21"/>
                <w:highlight w:val="none"/>
              </w:rPr>
            </w:pPr>
            <w:r>
              <w:rPr>
                <w:rFonts w:hint="eastAsia" w:ascii="宋体" w:hAnsi="宋体" w:eastAsia="宋体" w:cs="宋体"/>
                <w:b/>
                <w:bCs/>
                <w:color w:val="auto"/>
                <w:spacing w:val="-6"/>
                <w:sz w:val="21"/>
                <w:szCs w:val="21"/>
                <w:highlight w:val="none"/>
              </w:rPr>
              <w:t xml:space="preserve">3.2 </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b/>
                <w:bCs/>
                <w:color w:val="auto"/>
                <w:spacing w:val="-6"/>
                <w:kern w:val="0"/>
                <w:sz w:val="21"/>
                <w:szCs w:val="21"/>
                <w:highlight w:val="none"/>
              </w:rPr>
            </w:pPr>
            <w:r>
              <w:rPr>
                <w:rFonts w:hint="eastAsia" w:ascii="宋体" w:hAnsi="宋体" w:eastAsia="宋体" w:cs="宋体"/>
                <w:b/>
                <w:bCs/>
                <w:color w:val="auto"/>
                <w:spacing w:val="-6"/>
                <w:sz w:val="21"/>
                <w:szCs w:val="21"/>
                <w:highlight w:val="none"/>
              </w:rPr>
              <w:t>管道和调压设施（用户燃气计量表前）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3.2.1</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b/>
                <w:bCs/>
                <w:color w:val="auto"/>
                <w:spacing w:val="-6"/>
                <w:kern w:val="0"/>
                <w:sz w:val="21"/>
                <w:szCs w:val="21"/>
                <w:highlight w:val="none"/>
              </w:rPr>
            </w:pPr>
            <w:r>
              <w:rPr>
                <w:rFonts w:hint="eastAsia" w:ascii="宋体" w:hAnsi="宋体" w:eastAsia="宋体" w:cs="宋体"/>
                <w:b/>
                <w:bCs/>
                <w:color w:val="auto"/>
                <w:sz w:val="21"/>
                <w:szCs w:val="21"/>
                <w:highlight w:val="none"/>
              </w:rPr>
              <w:t>土方工程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3.2.1.1</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土方工程</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建设单位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设计单位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管道测量放线应符合设计和相关标准的要求。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《城镇燃气输配工程施工及验收规范》CJJ33-2005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2.1.1 土方施工前，建设单位应组织有关单位向施工单位进行现场交桩。临时水准点、管道轴线控制桩、高程桩，应经过复核后方可使用，并应定期校核。</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2.1.2 施工单位应会同建设等有关单位，核对管道路由、相关地下管道以及构筑物的资料，必要时局部开挖核实。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《油气长输管道工程施工及验收规范》GB50369-2014</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5.2.1 设计代表在现场向施工单位交接设计控制（转角）桩时，应核对桩号、里程、</w:t>
            </w:r>
            <w:r>
              <w:rPr>
                <w:rFonts w:hint="eastAsia" w:ascii="宋体" w:hAnsi="宋体" w:eastAsia="宋体" w:cs="宋体"/>
                <w:color w:val="auto"/>
                <w:sz w:val="21"/>
                <w:szCs w:val="21"/>
                <w:highlight w:val="none"/>
                <w:lang w:eastAsia="zh-CN"/>
              </w:rPr>
              <w:t>高</w:t>
            </w:r>
            <w:r>
              <w:rPr>
                <w:rFonts w:hint="eastAsia" w:ascii="宋体" w:hAnsi="宋体" w:eastAsia="宋体" w:cs="宋体"/>
                <w:color w:val="auto"/>
                <w:sz w:val="21"/>
                <w:szCs w:val="21"/>
                <w:highlight w:val="none"/>
              </w:rPr>
              <w:t>程、转角角度。交桩后，施工单位应采取措施，保护控制（转角）桩，对已经丢失的桩应复测补桩。</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5.3.1 测量放线应根据设计控制（转角）桩或其副桩进行。需要更改线路位置时，应经设计代表的书面同意后，方可更改。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3.2.1.2</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土方工程</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沟槽开挖、管基质量应符合设计和相关标准的要求。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《城镇燃气输配工程施工及验收规范》CJJ33-2005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2.3.1 混凝土路面和沥青路面的开挖应使用机械切割。</w:t>
            </w:r>
          </w:p>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2.3.2 管道沟槽应按设计规定的平面位置和标高开挖。当采用人工开挖且无地下水时，槽底预留值宜为O.05～0.10m；当采用机械开挖或有地下水时，槽底预留值不应小于0.15m；管道安装前应人工清底至设计标高。</w:t>
            </w:r>
          </w:p>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2.3.3 管沟沟底宽度和工作坑尺寸，应根据现场实际情况和管道敷设方法确定，也可按下列要求确定：</w:t>
            </w:r>
          </w:p>
          <w:p>
            <w:pPr>
              <w:pStyle w:val="12"/>
              <w:keepNext w:val="0"/>
              <w:keepLines w:val="0"/>
              <w:pageBreakBefore w:val="0"/>
              <w:kinsoku/>
              <w:wordWrap/>
              <w:overflowPunct/>
              <w:topLinePunct w:val="0"/>
              <w:autoSpaceDE/>
              <w:autoSpaceDN/>
              <w:bidi w:val="0"/>
              <w:spacing w:line="260" w:lineRule="atLeast"/>
              <w:ind w:left="0" w:firstLine="210" w:firstLineChars="100"/>
              <w:jc w:val="left"/>
              <w:outlineLvl w:val="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单管沟底组装按表2.3.3确定。</w:t>
            </w:r>
          </w:p>
          <w:p>
            <w:pPr>
              <w:pStyle w:val="12"/>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表2.3.3</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沟底宽度尺寸</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73"/>
              <w:gridCol w:w="774"/>
              <w:gridCol w:w="946"/>
              <w:gridCol w:w="1028"/>
              <w:gridCol w:w="1013"/>
              <w:gridCol w:w="1026"/>
              <w:gridCol w:w="987"/>
              <w:gridCol w:w="1067"/>
              <w:gridCol w:w="1147"/>
              <w:gridCol w:w="11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pct"/>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管道公称直径（mm）</w:t>
                  </w:r>
                </w:p>
              </w:tc>
              <w:tc>
                <w:tcPr>
                  <w:tcW w:w="357"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50～80</w:t>
                  </w:r>
                </w:p>
              </w:tc>
              <w:tc>
                <w:tcPr>
                  <w:tcW w:w="436"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100～200</w:t>
                  </w:r>
                </w:p>
              </w:tc>
              <w:tc>
                <w:tcPr>
                  <w:tcW w:w="474"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250～350</w:t>
                  </w:r>
                </w:p>
              </w:tc>
              <w:tc>
                <w:tcPr>
                  <w:tcW w:w="467"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400～450</w:t>
                  </w:r>
                </w:p>
              </w:tc>
              <w:tc>
                <w:tcPr>
                  <w:tcW w:w="473"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500～600</w:t>
                  </w:r>
                </w:p>
              </w:tc>
              <w:tc>
                <w:tcPr>
                  <w:tcW w:w="455"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700～800</w:t>
                  </w:r>
                </w:p>
              </w:tc>
              <w:tc>
                <w:tcPr>
                  <w:tcW w:w="492"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900～1000</w:t>
                  </w:r>
                </w:p>
              </w:tc>
              <w:tc>
                <w:tcPr>
                  <w:tcW w:w="529"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1100～1200</w:t>
                  </w:r>
                </w:p>
              </w:tc>
              <w:tc>
                <w:tcPr>
                  <w:tcW w:w="539"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1300～1400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pct"/>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沟底宽度（m）</w:t>
                  </w:r>
                </w:p>
              </w:tc>
              <w:tc>
                <w:tcPr>
                  <w:tcW w:w="357"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0.6</w:t>
                  </w:r>
                </w:p>
              </w:tc>
              <w:tc>
                <w:tcPr>
                  <w:tcW w:w="436"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0.7</w:t>
                  </w:r>
                </w:p>
              </w:tc>
              <w:tc>
                <w:tcPr>
                  <w:tcW w:w="474"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0.8</w:t>
                  </w:r>
                </w:p>
              </w:tc>
              <w:tc>
                <w:tcPr>
                  <w:tcW w:w="467"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w:t>
                  </w:r>
                </w:p>
              </w:tc>
              <w:tc>
                <w:tcPr>
                  <w:tcW w:w="473"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w:t>
                  </w:r>
                </w:p>
              </w:tc>
              <w:tc>
                <w:tcPr>
                  <w:tcW w:w="455"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w:t>
                  </w:r>
                </w:p>
              </w:tc>
              <w:tc>
                <w:tcPr>
                  <w:tcW w:w="492"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w:t>
                  </w:r>
                </w:p>
              </w:tc>
              <w:tc>
                <w:tcPr>
                  <w:tcW w:w="529"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2.00</w:t>
                  </w:r>
                </w:p>
              </w:tc>
              <w:tc>
                <w:tcPr>
                  <w:tcW w:w="539" w:type="pct"/>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w:t>
                  </w:r>
                </w:p>
              </w:tc>
            </w:tr>
          </w:tbl>
          <w:p>
            <w:pPr>
              <w:keepNext w:val="0"/>
              <w:keepLines w:val="0"/>
              <w:pageBreakBefore w:val="0"/>
              <w:kinsoku/>
              <w:wordWrap/>
              <w:overflowPunct/>
              <w:topLinePunct w:val="0"/>
              <w:autoSpaceDE/>
              <w:autoSpaceDN/>
              <w:bidi w:val="0"/>
              <w:spacing w:line="260" w:lineRule="atLeast"/>
              <w:ind w:left="0" w:firstLine="210" w:firstLineChars="100"/>
              <w:jc w:val="left"/>
              <w:outlineLvl w:val="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单管沟边组装和双管同沟敷设可按下式计算：</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a=D1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D2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s</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c</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式中 a——沟槽底宽度</w:t>
            </w:r>
            <w:r>
              <w:rPr>
                <w:rFonts w:hint="eastAsia" w:ascii="宋体" w:hAnsi="宋体" w:eastAsia="宋体" w:cs="宋体"/>
                <w:color w:val="auto"/>
                <w:sz w:val="21"/>
                <w:szCs w:val="21"/>
                <w:highlight w:val="none"/>
                <w:lang w:eastAsia="zh-CN"/>
              </w:rPr>
              <w:t>(</w:t>
            </w:r>
            <w:bookmarkStart w:id="7" w:name="_GoBack"/>
            <w:bookmarkEnd w:id="7"/>
            <w:r>
              <w:rPr>
                <w:rFonts w:hint="eastAsia" w:ascii="宋体" w:hAnsi="宋体" w:eastAsia="宋体" w:cs="宋体"/>
                <w:color w:val="auto"/>
                <w:sz w:val="21"/>
                <w:szCs w:val="21"/>
                <w:highlight w:val="none"/>
              </w:rPr>
              <w:t>m)；</w:t>
            </w:r>
          </w:p>
          <w:p>
            <w:pPr>
              <w:keepNext w:val="0"/>
              <w:keepLines w:val="0"/>
              <w:pageBreakBefore w:val="0"/>
              <w:kinsoku/>
              <w:wordWrap/>
              <w:overflowPunct/>
              <w:topLinePunct w:val="0"/>
              <w:autoSpaceDE/>
              <w:autoSpaceDN/>
              <w:bidi w:val="0"/>
              <w:spacing w:line="260" w:lineRule="atLeast"/>
              <w:ind w:left="0" w:firstLine="54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D1——第一条管道外径</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m)；</w:t>
            </w:r>
          </w:p>
          <w:p>
            <w:pPr>
              <w:keepNext w:val="0"/>
              <w:keepLines w:val="0"/>
              <w:pageBreakBefore w:val="0"/>
              <w:kinsoku/>
              <w:wordWrap/>
              <w:overflowPunct/>
              <w:topLinePunct w:val="0"/>
              <w:autoSpaceDE/>
              <w:autoSpaceDN/>
              <w:bidi w:val="0"/>
              <w:spacing w:line="260" w:lineRule="atLeast"/>
              <w:ind w:left="0" w:firstLine="54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D2——第二条管道外径</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m)；</w:t>
            </w:r>
          </w:p>
          <w:p>
            <w:pPr>
              <w:keepNext w:val="0"/>
              <w:keepLines w:val="0"/>
              <w:pageBreakBefore w:val="0"/>
              <w:kinsoku/>
              <w:wordWrap/>
              <w:overflowPunct/>
              <w:topLinePunct w:val="0"/>
              <w:autoSpaceDE/>
              <w:autoSpaceDN/>
              <w:bidi w:val="0"/>
              <w:spacing w:line="260" w:lineRule="atLeast"/>
              <w:ind w:left="0" w:firstLine="54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s——两管道之间的设计净距</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m)；</w:t>
            </w:r>
          </w:p>
          <w:p>
            <w:pPr>
              <w:keepNext w:val="0"/>
              <w:keepLines w:val="0"/>
              <w:pageBreakBefore w:val="0"/>
              <w:kinsoku/>
              <w:wordWrap/>
              <w:overflowPunct/>
              <w:topLinePunct w:val="0"/>
              <w:autoSpaceDE/>
              <w:autoSpaceDN/>
              <w:bidi w:val="0"/>
              <w:spacing w:line="260" w:lineRule="atLeast"/>
              <w:ind w:left="0" w:firstLine="54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c——工作宽度，在沟底组装：c</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0.6</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m)；在沟边组装：c</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0.3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m)。</w:t>
            </w:r>
          </w:p>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2.3.9 局部超挖部分应回填压实。当沟底无地下水时，超挖在0.15m以内，可采用原土回填；超挖在0.15m及以上，可采用石灰土处理。当沟底有地下水或含水量较大时，应采用级配砂石或天然砂回填至设计标高。超挖部分回填后应压实，其密实度应接近原地基天然土的密实度。</w:t>
            </w:r>
          </w:p>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2.3.11 沟底遇有废弃构筑物、硬石、木头、垃圾等杂物时必须清除，并应铺一层厚度不小于0.15m的砂土或素土，整平压实至设计标高。</w:t>
            </w:r>
          </w:p>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2.3.12 对软土基及特殊性腐蚀土壤，应按设计要求处理。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《聚乙烯燃气管道工程技术标准》CJJ63-2018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6.2.3 管道地基的处理应符合下列规定：</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1 </w:t>
            </w:r>
            <w:r>
              <w:rPr>
                <w:rFonts w:hint="eastAsia" w:ascii="宋体" w:hAnsi="宋体" w:eastAsia="宋体" w:cs="宋体"/>
                <w:color w:val="auto"/>
                <w:sz w:val="21"/>
                <w:szCs w:val="21"/>
                <w:highlight w:val="none"/>
              </w:rPr>
              <w:t>对于软土地基，当地基承载能力不满足设计要求或由于施工降水、超挖等原因导致地基原状土被扰动而影响地基承载能力时，应按设计要求对地基进行加固处理；在达到规定的地基承载能力后，应铺垫不小于</w:t>
            </w:r>
            <w:r>
              <w:rPr>
                <w:rFonts w:hint="eastAsia" w:ascii="宋体" w:hAnsi="宋体" w:eastAsia="宋体" w:cs="宋体"/>
                <w:color w:val="auto"/>
                <w:sz w:val="21"/>
                <w:szCs w:val="21"/>
                <w:highlight w:val="none"/>
                <w:lang w:val="en-US" w:eastAsia="zh-CN"/>
              </w:rPr>
              <w:t>150mm</w:t>
            </w:r>
            <w:r>
              <w:rPr>
                <w:rFonts w:hint="eastAsia" w:ascii="宋体" w:hAnsi="宋体" w:eastAsia="宋体" w:cs="宋体"/>
                <w:color w:val="auto"/>
                <w:sz w:val="21"/>
                <w:szCs w:val="21"/>
                <w:highlight w:val="none"/>
              </w:rPr>
              <w:t>中粗砂基础层。</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当沟槽底为岩石或坚硬物体时，铺垫中粗砂基础层的厚度不应小于150mm。</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在地下水水位较高、流动性较大的场地内，当管道周围土体可能发生细颗粒土流失的情况时，应沿沟槽在底部和两侧边坡上铺设土工布加以保护，且土工布单位面积的质量不宜小</w:t>
            </w:r>
            <w:r>
              <w:rPr>
                <w:rFonts w:hint="eastAsia" w:ascii="宋体" w:hAnsi="宋体" w:eastAsia="宋体" w:cs="宋体"/>
                <w:color w:val="auto"/>
                <w:sz w:val="21"/>
                <w:szCs w:val="21"/>
                <w:highlight w:val="none"/>
                <w:lang w:eastAsia="zh-CN"/>
              </w:rPr>
              <w:t>于</w:t>
            </w:r>
            <w:r>
              <w:rPr>
                <w:rFonts w:hint="eastAsia" w:ascii="宋体" w:hAnsi="宋体" w:eastAsia="宋体" w:cs="宋体"/>
                <w:color w:val="auto"/>
                <w:sz w:val="21"/>
                <w:szCs w:val="21"/>
                <w:highlight w:val="none"/>
              </w:rPr>
              <w:t>250g/m2 。</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4 </w:t>
            </w:r>
            <w:r>
              <w:rPr>
                <w:rFonts w:hint="eastAsia" w:ascii="宋体" w:hAnsi="宋体" w:eastAsia="宋体" w:cs="宋体"/>
                <w:color w:val="auto"/>
                <w:sz w:val="21"/>
                <w:szCs w:val="21"/>
                <w:highlight w:val="none"/>
              </w:rPr>
              <w:t>当同一敷设区段内的地基刚度相差较大时，应采用换填垫层或其他有效措施减少管道的差异沉降，垫层厚度应满足设计要求，且不应小于</w:t>
            </w:r>
            <w:r>
              <w:rPr>
                <w:rFonts w:hint="eastAsia" w:ascii="宋体" w:hAnsi="宋体" w:eastAsia="宋体" w:cs="宋体"/>
                <w:color w:val="auto"/>
                <w:sz w:val="21"/>
                <w:szCs w:val="21"/>
                <w:highlight w:val="none"/>
                <w:lang w:val="en-US" w:eastAsia="zh-CN"/>
              </w:rPr>
              <w:t>300mm。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3.2.1.3</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土方工程</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沟槽回填、路面/地貌恢复应符合设计、标准及权属单位或相关管理部门的要求。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《城镇燃气输配工程施工及验收规范》CJJ33-2005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2.4.1 管道主体安装检验合格后，沟槽应及时回填，但需留出未检验的安装接口。回填前，必须将槽底施工遗留的杂物清除干净。</w:t>
            </w:r>
          </w:p>
          <w:p>
            <w:pPr>
              <w:pStyle w:val="12"/>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对特殊地段，应经监理</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建设</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单位认可，并采取有效的技术措施，方可在管道焊接、防腐检验合格后全部回填。</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2.4.2 不得采用冻土、垃圾、木材及软性物质回填。管道两侧及管顶以上0.5m内的回填土，不得含有碎石、砖块等杂物，且不得采用灰土回填。距管顶0.5m以上的回填土中的石块不得多于10％、直径不得大于0.1m，且均匀分布。</w:t>
            </w:r>
          </w:p>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2.4.4 沟槽回填时，应先回填管底局部悬空部位，再回填管道两侧。</w:t>
            </w:r>
          </w:p>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2.4.7 沥青路面和混凝土路面的恢复，应由具备专业施工资质的单位施工。</w:t>
            </w:r>
          </w:p>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2.4.8 回填路面的基础和修复路面材料的性能不应低于原基础和路面材料。</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2.4.9 当地市政管理部门对路面恢复有其他要求时，应按当地市政管理部门的要求执行。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《聚乙烯燃气管道工程技术标准》CJJ63-2018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6.4.5 聚乙烯燃气管道回填材料、回填土压实系数等应符合设计要求。</w:t>
            </w:r>
            <w:r>
              <w:rPr>
                <w:rFonts w:hint="eastAsia" w:ascii="宋体" w:hAnsi="宋体" w:eastAsia="宋体" w:cs="宋体"/>
                <w:color w:val="auto"/>
                <w:sz w:val="21"/>
                <w:szCs w:val="21"/>
                <w:highlight w:val="none"/>
              </w:rPr>
              <w:t>当设计无要求时，应符合表</w:t>
            </w:r>
            <w:r>
              <w:rPr>
                <w:rFonts w:hint="eastAsia" w:ascii="宋体" w:hAnsi="宋体" w:eastAsia="宋体" w:cs="宋体"/>
                <w:color w:val="auto"/>
                <w:sz w:val="21"/>
                <w:szCs w:val="21"/>
                <w:highlight w:val="none"/>
                <w:lang w:bidi="en-US"/>
              </w:rPr>
              <w:t>6.4.5</w:t>
            </w:r>
            <w:r>
              <w:rPr>
                <w:rFonts w:hint="eastAsia" w:ascii="宋体" w:hAnsi="宋体" w:eastAsia="宋体" w:cs="宋体"/>
                <w:color w:val="auto"/>
                <w:sz w:val="21"/>
                <w:szCs w:val="21"/>
                <w:highlight w:val="none"/>
              </w:rPr>
              <w:t>的规定。</w:t>
            </w:r>
          </w:p>
          <w:p>
            <w:pPr>
              <w:pStyle w:val="115"/>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表</w:t>
            </w:r>
            <w:r>
              <w:rPr>
                <w:rFonts w:hint="eastAsia" w:ascii="宋体" w:hAnsi="宋体" w:eastAsia="宋体" w:cs="宋体"/>
                <w:b w:val="0"/>
                <w:bCs w:val="0"/>
                <w:color w:val="auto"/>
                <w:sz w:val="21"/>
                <w:szCs w:val="21"/>
                <w:highlight w:val="none"/>
                <w:lang w:val="en-US" w:eastAsia="zh-CN" w:bidi="en-US"/>
              </w:rPr>
              <w:t>6.4.5</w:t>
            </w:r>
            <w:r>
              <w:rPr>
                <w:rFonts w:hint="eastAsia" w:ascii="宋体" w:hAnsi="宋体" w:eastAsia="宋体" w:cs="宋体"/>
                <w:b w:val="0"/>
                <w:bCs w:val="0"/>
                <w:color w:val="auto"/>
                <w:sz w:val="21"/>
                <w:szCs w:val="21"/>
                <w:highlight w:val="none"/>
                <w:lang w:val="en-US" w:eastAsia="zh-CN" w:bidi="en-US"/>
              </w:rPr>
              <w:t xml:space="preserve"> </w:t>
            </w:r>
            <w:r>
              <w:rPr>
                <w:rFonts w:hint="eastAsia" w:ascii="宋体" w:hAnsi="宋体" w:eastAsia="宋体" w:cs="宋体"/>
                <w:b w:val="0"/>
                <w:bCs w:val="0"/>
                <w:color w:val="auto"/>
                <w:sz w:val="21"/>
                <w:szCs w:val="21"/>
                <w:highlight w:val="none"/>
              </w:rPr>
              <w:t>沟槽回填土压实系数与回填材料</w:t>
            </w:r>
          </w:p>
          <w:tbl>
            <w:tblPr>
              <w:tblStyle w:val="20"/>
              <w:tblW w:w="4999" w:type="pct"/>
              <w:jc w:val="center"/>
              <w:tblLayout w:type="autofit"/>
              <w:tblCellMar>
                <w:top w:w="0" w:type="dxa"/>
                <w:left w:w="10" w:type="dxa"/>
                <w:bottom w:w="0" w:type="dxa"/>
                <w:right w:w="10" w:type="dxa"/>
              </w:tblCellMar>
            </w:tblPr>
            <w:tblGrid>
              <w:gridCol w:w="2097"/>
              <w:gridCol w:w="2707"/>
              <w:gridCol w:w="2264"/>
              <w:gridCol w:w="3774"/>
            </w:tblGrid>
            <w:tr>
              <w:tblPrEx>
                <w:tblCellMar>
                  <w:top w:w="0" w:type="dxa"/>
                  <w:left w:w="10" w:type="dxa"/>
                  <w:bottom w:w="0" w:type="dxa"/>
                  <w:right w:w="10" w:type="dxa"/>
                </w:tblCellMar>
              </w:tblPrEx>
              <w:trPr>
                <w:trHeight w:val="338" w:hRule="exact"/>
                <w:jc w:val="center"/>
              </w:trPr>
              <w:tc>
                <w:tcPr>
                  <w:tcW w:w="2215" w:type="pct"/>
                  <w:gridSpan w:val="2"/>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填土部位</w:t>
                  </w:r>
                </w:p>
              </w:tc>
              <w:tc>
                <w:tcPr>
                  <w:tcW w:w="1044" w:type="pc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压实系数（%）</w:t>
                  </w:r>
                </w:p>
              </w:tc>
              <w:tc>
                <w:tcPr>
                  <w:tcW w:w="1740" w:type="pct"/>
                  <w:tcBorders>
                    <w:top w:val="single" w:color="auto" w:sz="4" w:space="0"/>
                    <w:left w:val="single" w:color="auto" w:sz="4" w:space="0"/>
                    <w:righ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回</w:t>
                  </w:r>
                  <w:r>
                    <w:rPr>
                      <w:rFonts w:hint="eastAsia" w:ascii="宋体" w:hAnsi="宋体" w:eastAsia="宋体" w:cs="宋体"/>
                      <w:color w:val="auto"/>
                      <w:sz w:val="21"/>
                      <w:szCs w:val="21"/>
                      <w:highlight w:val="none"/>
                      <w:lang w:eastAsia="zh-CN"/>
                    </w:rPr>
                    <w:t>填</w:t>
                  </w:r>
                  <w:r>
                    <w:rPr>
                      <w:rFonts w:hint="eastAsia" w:ascii="宋体" w:hAnsi="宋体" w:eastAsia="宋体" w:cs="宋体"/>
                      <w:color w:val="auto"/>
                      <w:sz w:val="21"/>
                      <w:szCs w:val="21"/>
                      <w:highlight w:val="none"/>
                    </w:rPr>
                    <w:t>材料</w:t>
                  </w:r>
                </w:p>
              </w:tc>
            </w:tr>
            <w:tr>
              <w:tblPrEx>
                <w:tblCellMar>
                  <w:top w:w="0" w:type="dxa"/>
                  <w:left w:w="10" w:type="dxa"/>
                  <w:bottom w:w="0" w:type="dxa"/>
                  <w:right w:w="10" w:type="dxa"/>
                </w:tblCellMar>
              </w:tblPrEx>
              <w:trPr>
                <w:trHeight w:val="297" w:hRule="exact"/>
                <w:jc w:val="center"/>
              </w:trPr>
              <w:tc>
                <w:tcPr>
                  <w:tcW w:w="967" w:type="pct"/>
                  <w:vMerge w:val="restar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管道基础</w:t>
                  </w:r>
                </w:p>
              </w:tc>
              <w:tc>
                <w:tcPr>
                  <w:tcW w:w="1247" w:type="pct"/>
                  <w:tcBorders>
                    <w:top w:val="single" w:color="auto" w:sz="4" w:space="0"/>
                    <w:left w:val="single" w:color="auto" w:sz="4" w:space="0"/>
                  </w:tcBorders>
                  <w:shd w:val="clear" w:color="auto" w:fill="FFFFFF"/>
                  <w:vAlign w:val="bottom"/>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管底基础</w:t>
                  </w:r>
                </w:p>
              </w:tc>
              <w:tc>
                <w:tcPr>
                  <w:tcW w:w="1044" w:type="pct"/>
                  <w:tcBorders>
                    <w:top w:val="single" w:color="auto" w:sz="4" w:space="0"/>
                    <w:left w:val="single" w:color="auto" w:sz="4" w:space="0"/>
                  </w:tcBorders>
                  <w:shd w:val="clear" w:color="auto" w:fill="FFFFFF"/>
                  <w:vAlign w:val="bottom"/>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≥90</w:t>
                  </w:r>
                </w:p>
              </w:tc>
              <w:tc>
                <w:tcPr>
                  <w:tcW w:w="1740" w:type="pct"/>
                  <w:vMerge w:val="restart"/>
                  <w:tcBorders>
                    <w:top w:val="single" w:color="auto" w:sz="4" w:space="0"/>
                    <w:left w:val="single" w:color="auto" w:sz="4" w:space="0"/>
                    <w:righ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中粗砂、素土</w:t>
                  </w:r>
                </w:p>
              </w:tc>
            </w:tr>
            <w:tr>
              <w:tblPrEx>
                <w:tblCellMar>
                  <w:top w:w="0" w:type="dxa"/>
                  <w:left w:w="10" w:type="dxa"/>
                  <w:bottom w:w="0" w:type="dxa"/>
                  <w:right w:w="10" w:type="dxa"/>
                </w:tblCellMar>
              </w:tblPrEx>
              <w:trPr>
                <w:trHeight w:val="344" w:hRule="exact"/>
                <w:jc w:val="center"/>
              </w:trPr>
              <w:tc>
                <w:tcPr>
                  <w:tcW w:w="967" w:type="pct"/>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47" w:type="pct"/>
                  <w:tcBorders>
                    <w:top w:val="single" w:color="auto" w:sz="4" w:space="0"/>
                    <w:lef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管道有效支撑角</w:t>
                  </w:r>
                  <w:r>
                    <w:rPr>
                      <w:rFonts w:hint="eastAsia" w:ascii="宋体" w:hAnsi="宋体" w:eastAsia="宋体" w:cs="宋体"/>
                      <w:color w:val="auto"/>
                      <w:sz w:val="21"/>
                      <w:szCs w:val="21"/>
                      <w:highlight w:val="none"/>
                      <w:lang w:eastAsia="zh-CN"/>
                    </w:rPr>
                    <w:t>范围</w:t>
                  </w:r>
                  <w:r>
                    <w:rPr>
                      <w:rFonts w:hint="eastAsia" w:ascii="宋体" w:hAnsi="宋体" w:eastAsia="宋体" w:cs="宋体"/>
                      <w:color w:val="auto"/>
                      <w:sz w:val="21"/>
                      <w:szCs w:val="21"/>
                      <w:highlight w:val="none"/>
                    </w:rPr>
                    <w:t>剧</w:t>
                  </w:r>
                </w:p>
              </w:tc>
              <w:tc>
                <w:tcPr>
                  <w:tcW w:w="1044" w:type="pct"/>
                  <w:tcBorders>
                    <w:top w:val="single" w:color="auto" w:sz="4" w:space="0"/>
                    <w:lef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≥95</w:t>
                  </w:r>
                </w:p>
              </w:tc>
              <w:tc>
                <w:tcPr>
                  <w:tcW w:w="1740" w:type="pct"/>
                  <w:vMerge w:val="continue"/>
                  <w:tcBorders>
                    <w:left w:val="single" w:color="auto" w:sz="4" w:space="0"/>
                    <w:righ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r>
            <w:tr>
              <w:tblPrEx>
                <w:tblCellMar>
                  <w:top w:w="0" w:type="dxa"/>
                  <w:left w:w="10" w:type="dxa"/>
                  <w:bottom w:w="0" w:type="dxa"/>
                  <w:right w:w="10" w:type="dxa"/>
                </w:tblCellMar>
              </w:tblPrEx>
              <w:trPr>
                <w:trHeight w:val="319" w:hRule="exact"/>
                <w:jc w:val="center"/>
              </w:trPr>
              <w:tc>
                <w:tcPr>
                  <w:tcW w:w="2215" w:type="pct"/>
                  <w:gridSpan w:val="2"/>
                  <w:tcBorders>
                    <w:top w:val="single" w:color="auto" w:sz="4" w:space="0"/>
                    <w:left w:val="single" w:color="auto" w:sz="4" w:space="0"/>
                  </w:tcBorders>
                  <w:shd w:val="clear" w:color="auto" w:fill="FFFFFF"/>
                  <w:vAlign w:val="bottom"/>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管道两侧</w:t>
                  </w:r>
                </w:p>
              </w:tc>
              <w:tc>
                <w:tcPr>
                  <w:tcW w:w="1044" w:type="pct"/>
                  <w:tcBorders>
                    <w:top w:val="single" w:color="auto" w:sz="4" w:space="0"/>
                    <w:left w:val="single" w:color="auto" w:sz="4" w:space="0"/>
                  </w:tcBorders>
                  <w:shd w:val="clear" w:color="auto" w:fill="FFFFFF"/>
                  <w:vAlign w:val="bottom"/>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≥95</w:t>
                  </w:r>
                </w:p>
              </w:tc>
              <w:tc>
                <w:tcPr>
                  <w:tcW w:w="1740" w:type="pct"/>
                  <w:vMerge w:val="restart"/>
                  <w:tcBorders>
                    <w:top w:val="single" w:color="auto" w:sz="4" w:space="0"/>
                    <w:left w:val="single" w:color="auto" w:sz="4" w:space="0"/>
                    <w:righ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中粗砂、素土或符合</w:t>
                  </w:r>
                </w:p>
                <w:p>
                  <w:pPr>
                    <w:pStyle w:val="120"/>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要求的原土</w:t>
                  </w:r>
                </w:p>
              </w:tc>
            </w:tr>
            <w:tr>
              <w:tblPrEx>
                <w:tblCellMar>
                  <w:top w:w="0" w:type="dxa"/>
                  <w:left w:w="10" w:type="dxa"/>
                  <w:bottom w:w="0" w:type="dxa"/>
                  <w:right w:w="10" w:type="dxa"/>
                </w:tblCellMar>
              </w:tblPrEx>
              <w:trPr>
                <w:trHeight w:val="359" w:hRule="exact"/>
                <w:jc w:val="center"/>
              </w:trPr>
              <w:tc>
                <w:tcPr>
                  <w:tcW w:w="967" w:type="pct"/>
                  <w:vMerge w:val="restart"/>
                  <w:tcBorders>
                    <w:top w:val="single" w:color="auto" w:sz="4" w:space="0"/>
                    <w:lef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管顶以上</w:t>
                  </w:r>
                </w:p>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bidi="en-US"/>
                    </w:rPr>
                    <w:t>0.5m</w:t>
                  </w:r>
                  <w:r>
                    <w:rPr>
                      <w:rFonts w:hint="eastAsia" w:ascii="宋体" w:hAnsi="宋体" w:eastAsia="宋体" w:cs="宋体"/>
                      <w:color w:val="auto"/>
                      <w:sz w:val="21"/>
                      <w:szCs w:val="21"/>
                      <w:highlight w:val="none"/>
                    </w:rPr>
                    <w:t>内</w:t>
                  </w:r>
                </w:p>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p>
              </w:tc>
              <w:tc>
                <w:tcPr>
                  <w:tcW w:w="1247" w:type="pct"/>
                  <w:tcBorders>
                    <w:top w:val="single" w:color="auto" w:sz="4" w:space="0"/>
                    <w:left w:val="single" w:color="auto" w:sz="4" w:space="0"/>
                  </w:tcBorders>
                  <w:shd w:val="clear" w:color="auto" w:fill="FFFFFF"/>
                  <w:vAlign w:val="bottom"/>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管</w:t>
                  </w:r>
                  <w:r>
                    <w:rPr>
                      <w:rFonts w:hint="eastAsia" w:ascii="宋体" w:hAnsi="宋体" w:eastAsia="宋体" w:cs="宋体"/>
                      <w:color w:val="auto"/>
                      <w:sz w:val="21"/>
                      <w:szCs w:val="21"/>
                      <w:highlight w:val="none"/>
                    </w:rPr>
                    <w:t>道两侧</w:t>
                  </w:r>
                </w:p>
              </w:tc>
              <w:tc>
                <w:tcPr>
                  <w:tcW w:w="1044" w:type="pct"/>
                  <w:tcBorders>
                    <w:top w:val="single" w:color="auto" w:sz="4" w:space="0"/>
                    <w:left w:val="single" w:color="auto" w:sz="4" w:space="0"/>
                  </w:tcBorders>
                  <w:shd w:val="clear" w:color="auto" w:fill="FFFFFF"/>
                  <w:vAlign w:val="bottom"/>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≥90</w:t>
                  </w:r>
                </w:p>
              </w:tc>
              <w:tc>
                <w:tcPr>
                  <w:tcW w:w="1740" w:type="pct"/>
                  <w:vMerge w:val="continue"/>
                  <w:tcBorders>
                    <w:left w:val="single" w:color="auto" w:sz="4" w:space="0"/>
                    <w:righ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r>
            <w:tr>
              <w:tblPrEx>
                <w:tblCellMar>
                  <w:top w:w="0" w:type="dxa"/>
                  <w:left w:w="10" w:type="dxa"/>
                  <w:bottom w:w="0" w:type="dxa"/>
                  <w:right w:w="10" w:type="dxa"/>
                </w:tblCellMar>
              </w:tblPrEx>
              <w:trPr>
                <w:trHeight w:val="299" w:hRule="exact"/>
                <w:jc w:val="center"/>
              </w:trPr>
              <w:tc>
                <w:tcPr>
                  <w:tcW w:w="967" w:type="pct"/>
                  <w:vMerge w:val="continue"/>
                  <w:tcBorders>
                    <w:left w:val="single" w:color="auto" w:sz="4" w:space="0"/>
                  </w:tcBorders>
                  <w:shd w:val="clear" w:color="auto" w:fill="FFFFFF"/>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47" w:type="pct"/>
                  <w:tcBorders>
                    <w:top w:val="single" w:color="auto" w:sz="4" w:space="0"/>
                    <w:left w:val="single" w:color="auto" w:sz="4" w:space="0"/>
                  </w:tcBorders>
                  <w:shd w:val="clear" w:color="auto" w:fill="FFFFFF"/>
                  <w:vAlign w:val="bottom"/>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管道上部</w:t>
                  </w:r>
                </w:p>
              </w:tc>
              <w:tc>
                <w:tcPr>
                  <w:tcW w:w="1044" w:type="pct"/>
                  <w:tcBorders>
                    <w:top w:val="single" w:color="auto" w:sz="4" w:space="0"/>
                    <w:left w:val="single" w:color="auto" w:sz="4" w:space="0"/>
                  </w:tcBorders>
                  <w:shd w:val="clear" w:color="auto" w:fill="FFFFFF"/>
                  <w:vAlign w:val="bottom"/>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≥90</w:t>
                  </w:r>
                </w:p>
              </w:tc>
              <w:tc>
                <w:tcPr>
                  <w:tcW w:w="1740" w:type="pct"/>
                  <w:vMerge w:val="continue"/>
                  <w:tcBorders>
                    <w:left w:val="single" w:color="auto" w:sz="4" w:space="0"/>
                    <w:righ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r>
            <w:tr>
              <w:tblPrEx>
                <w:tblCellMar>
                  <w:top w:w="0" w:type="dxa"/>
                  <w:left w:w="10" w:type="dxa"/>
                  <w:bottom w:w="0" w:type="dxa"/>
                  <w:right w:w="10" w:type="dxa"/>
                </w:tblCellMar>
              </w:tblPrEx>
              <w:trPr>
                <w:trHeight w:val="390" w:hRule="exact"/>
                <w:jc w:val="center"/>
              </w:trPr>
              <w:tc>
                <w:tcPr>
                  <w:tcW w:w="2215" w:type="pct"/>
                  <w:gridSpan w:val="2"/>
                  <w:tcBorders>
                    <w:top w:val="single" w:color="auto" w:sz="4" w:space="0"/>
                    <w:left w:val="single" w:color="auto" w:sz="4" w:space="0"/>
                    <w:bottom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管顶</w:t>
                  </w:r>
                  <w:r>
                    <w:rPr>
                      <w:rFonts w:hint="eastAsia" w:ascii="宋体" w:hAnsi="宋体" w:eastAsia="宋体" w:cs="宋体"/>
                      <w:color w:val="auto"/>
                      <w:sz w:val="21"/>
                      <w:szCs w:val="21"/>
                      <w:highlight w:val="none"/>
                      <w:lang w:val="en-US" w:eastAsia="zh-CN" w:bidi="en-US"/>
                    </w:rPr>
                    <w:t>0.5m</w:t>
                  </w:r>
                  <w:r>
                    <w:rPr>
                      <w:rFonts w:hint="eastAsia" w:ascii="宋体" w:hAnsi="宋体" w:eastAsia="宋体" w:cs="宋体"/>
                      <w:color w:val="auto"/>
                      <w:sz w:val="21"/>
                      <w:szCs w:val="21"/>
                      <w:highlight w:val="none"/>
                    </w:rPr>
                    <w:t>以上</w:t>
                  </w:r>
                </w:p>
              </w:tc>
              <w:tc>
                <w:tcPr>
                  <w:tcW w:w="1044" w:type="pct"/>
                  <w:tcBorders>
                    <w:top w:val="single" w:color="auto" w:sz="4" w:space="0"/>
                    <w:left w:val="single" w:color="auto" w:sz="4" w:space="0"/>
                    <w:bottom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≥90</w:t>
                  </w:r>
                </w:p>
              </w:tc>
              <w:tc>
                <w:tcPr>
                  <w:tcW w:w="1740" w:type="pct"/>
                  <w:tcBorders>
                    <w:top w:val="single" w:color="auto" w:sz="4" w:space="0"/>
                    <w:left w:val="single" w:color="auto" w:sz="4" w:space="0"/>
                    <w:bottom w:val="single" w:color="auto" w:sz="4" w:space="0"/>
                    <w:righ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原土</w:t>
                  </w:r>
                </w:p>
              </w:tc>
            </w:tr>
          </w:tbl>
          <w:p>
            <w:pPr>
              <w:pStyle w:val="2"/>
              <w:keepNext w:val="0"/>
              <w:keepLines w:val="0"/>
              <w:pageBreakBefore w:val="0"/>
              <w:kinsoku/>
              <w:wordWrap/>
              <w:overflowPunct/>
              <w:topLinePunct w:val="0"/>
              <w:autoSpaceDE/>
              <w:autoSpaceDN/>
              <w:bidi w:val="0"/>
              <w:spacing w:line="260" w:lineRule="atLeast"/>
              <w:ind w:left="0" w:leftChars="0" w:firstLine="4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zh-TW" w:eastAsia="zh-TW"/>
              </w:rPr>
              <w:t>注</w:t>
            </w:r>
            <w:r>
              <w:rPr>
                <w:rFonts w:hint="eastAsia" w:ascii="宋体" w:hAnsi="宋体" w:eastAsia="宋体" w:cs="宋体"/>
                <w:color w:val="auto"/>
                <w:sz w:val="21"/>
                <w:szCs w:val="21"/>
                <w:highlight w:val="none"/>
                <w:lang w:val="zh-TW"/>
              </w:rPr>
              <w:t>：</w:t>
            </w:r>
            <w:r>
              <w:rPr>
                <w:rFonts w:hint="eastAsia" w:ascii="宋体" w:hAnsi="宋体" w:eastAsia="宋体" w:cs="宋体"/>
                <w:color w:val="auto"/>
                <w:sz w:val="21"/>
                <w:szCs w:val="21"/>
                <w:highlight w:val="none"/>
                <w:lang w:val="zh-TW" w:eastAsia="zh-TW"/>
              </w:rPr>
              <w:t>回填土的压实系数</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zh-TW" w:eastAsia="zh-TW"/>
              </w:rPr>
              <w:t>除设计要求</w:t>
            </w:r>
            <w:r>
              <w:rPr>
                <w:rFonts w:hint="eastAsia" w:ascii="宋体" w:hAnsi="宋体" w:eastAsia="宋体" w:cs="宋体"/>
                <w:color w:val="auto"/>
                <w:sz w:val="21"/>
                <w:szCs w:val="21"/>
                <w:highlight w:val="none"/>
                <w:lang w:val="zh-TW" w:eastAsia="zh-CN"/>
              </w:rPr>
              <w:t>采用</w:t>
            </w:r>
            <w:r>
              <w:rPr>
                <w:rFonts w:hint="eastAsia" w:ascii="宋体" w:hAnsi="宋体" w:eastAsia="宋体" w:cs="宋体"/>
                <w:color w:val="auto"/>
                <w:sz w:val="21"/>
                <w:szCs w:val="21"/>
                <w:highlight w:val="none"/>
                <w:lang w:val="zh-TW"/>
              </w:rPr>
              <w:t>重</w:t>
            </w:r>
            <w:r>
              <w:rPr>
                <w:rFonts w:hint="eastAsia" w:ascii="宋体" w:hAnsi="宋体" w:eastAsia="宋体" w:cs="宋体"/>
                <w:color w:val="auto"/>
                <w:sz w:val="21"/>
                <w:szCs w:val="21"/>
                <w:highlight w:val="none"/>
                <w:lang w:val="zh-TW" w:eastAsia="zh-TW"/>
              </w:rPr>
              <w:t>型击实标准外，其他皆以轻型击实标准试验获得最大干密度为100%。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公用管道》GB/T38942-2020</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6.4.6.2 回填时应采取防止管道发生位移或损伤的措施。井室周围回填应与沟槽回填同时进行。回填压实时应沿井室中心对称进行，且不得漏夯。</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lang w:val="en-US" w:eastAsia="zh-CN"/>
              </w:rPr>
              <w:t xml:space="preserve">6.4.6.3 </w:t>
            </w:r>
            <w:r>
              <w:rPr>
                <w:rFonts w:hint="eastAsia" w:ascii="宋体" w:hAnsi="宋体" w:eastAsia="宋体" w:cs="宋体"/>
                <w:color w:val="auto"/>
                <w:kern w:val="0"/>
                <w:sz w:val="21"/>
                <w:szCs w:val="21"/>
                <w:highlight w:val="none"/>
              </w:rPr>
              <w:t>回填土或其他回填材料运入槽内时不得损伤管道及其防腐层。管道两侧和管顶以上500mm范围内的回填材料，应由沟槽两侧对称运入槽内，不得直接回填在管道上。</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 xml:space="preserve">6.4.6.4 </w:t>
            </w:r>
            <w:r>
              <w:rPr>
                <w:rFonts w:hint="eastAsia" w:ascii="宋体" w:hAnsi="宋体" w:eastAsia="宋体" w:cs="宋体"/>
                <w:color w:val="auto"/>
                <w:sz w:val="21"/>
                <w:szCs w:val="21"/>
                <w:highlight w:val="none"/>
              </w:rPr>
              <w:t>沟槽应分层夯填密实</w:t>
            </w:r>
            <w:r>
              <w:rPr>
                <w:rFonts w:hint="eastAsia" w:ascii="宋体" w:hAnsi="宋体" w:eastAsia="宋体" w:cs="宋体"/>
                <w:bCs/>
                <w:color w:val="auto"/>
                <w:sz w:val="21"/>
                <w:szCs w:val="21"/>
                <w:highlight w:val="none"/>
              </w:rPr>
              <w:t>。管道两侧及管顶以上0.5m内的回填土应采用人工压实，管顶0.5m以上的回填土可采用小型机械压实。</w:t>
            </w:r>
            <w:r>
              <w:rPr>
                <w:rFonts w:hint="eastAsia" w:ascii="宋体" w:hAnsi="宋体" w:eastAsia="宋体" w:cs="宋体"/>
                <w:color w:val="auto"/>
                <w:kern w:val="0"/>
                <w:sz w:val="21"/>
                <w:szCs w:val="21"/>
                <w:highlight w:val="none"/>
              </w:rPr>
              <w:t>每层虚铺厚度</w:t>
            </w:r>
            <w:r>
              <w:rPr>
                <w:rFonts w:hint="eastAsia" w:ascii="宋体" w:hAnsi="宋体" w:eastAsia="宋体" w:cs="宋体"/>
                <w:bCs/>
                <w:color w:val="auto"/>
                <w:sz w:val="21"/>
                <w:szCs w:val="21"/>
                <w:highlight w:val="none"/>
              </w:rPr>
              <w:t>应符合</w:t>
            </w:r>
            <w:r>
              <w:rPr>
                <w:rFonts w:hint="eastAsia" w:ascii="宋体" w:hAnsi="宋体" w:eastAsia="宋体" w:cs="宋体"/>
                <w:color w:val="auto"/>
                <w:kern w:val="0"/>
                <w:sz w:val="21"/>
                <w:szCs w:val="21"/>
                <w:highlight w:val="none"/>
              </w:rPr>
              <w:t>表28的规定。</w:t>
            </w:r>
          </w:p>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t xml:space="preserve">表28  回填土的每层虚铺厚度       </w:t>
            </w:r>
            <w:r>
              <w:rPr>
                <w:rFonts w:hint="eastAsia" w:ascii="宋体" w:hAnsi="宋体" w:eastAsia="宋体" w:cs="宋体"/>
                <w:color w:val="auto"/>
                <w:kern w:val="0"/>
                <w:sz w:val="21"/>
                <w:szCs w:val="21"/>
                <w:highlight w:val="none"/>
                <w:lang w:bidi="ar"/>
              </w:rPr>
              <w:t>单位为毫米</w:t>
            </w:r>
          </w:p>
          <w:tbl>
            <w:tblPr>
              <w:tblStyle w:val="20"/>
              <w:tblW w:w="4999" w:type="pct"/>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4828"/>
              <w:gridCol w:w="6014"/>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2226" w:type="pct"/>
                  <w:tcBorders>
                    <w:left w:val="single" w:color="auto" w:sz="4" w:space="0"/>
                  </w:tcBorders>
                  <w:vAlign w:val="center"/>
                </w:tcPr>
                <w:p>
                  <w:pPr>
                    <w:keepNext w:val="0"/>
                    <w:keepLines w:val="0"/>
                    <w:pageBreakBefore w:val="0"/>
                    <w:widowControl/>
                    <w:tabs>
                      <w:tab w:val="left" w:pos="1689"/>
                    </w:tabs>
                    <w:kinsoku/>
                    <w:wordWrap/>
                    <w:overflowPunct/>
                    <w:topLinePunct w:val="0"/>
                    <w:autoSpaceDE/>
                    <w:autoSpaceDN/>
                    <w:bidi w:val="0"/>
                    <w:snapToGrid w:val="0"/>
                    <w:spacing w:line="260" w:lineRule="atLeast"/>
                    <w:ind w:left="0"/>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压实机具</w:t>
                  </w:r>
                </w:p>
              </w:tc>
              <w:tc>
                <w:tcPr>
                  <w:tcW w:w="2773" w:type="pct"/>
                  <w:tcBorders>
                    <w:right w:val="single" w:color="auto" w:sz="4" w:space="0"/>
                  </w:tcBorders>
                  <w:vAlign w:val="center"/>
                </w:tcPr>
                <w:p>
                  <w:pPr>
                    <w:keepNext w:val="0"/>
                    <w:keepLines w:val="0"/>
                    <w:pageBreakBefore w:val="0"/>
                    <w:widowControl/>
                    <w:tabs>
                      <w:tab w:val="left" w:pos="1689"/>
                    </w:tabs>
                    <w:kinsoku/>
                    <w:wordWrap/>
                    <w:overflowPunct/>
                    <w:topLinePunct w:val="0"/>
                    <w:autoSpaceDE/>
                    <w:autoSpaceDN/>
                    <w:bidi w:val="0"/>
                    <w:snapToGrid w:val="0"/>
                    <w:spacing w:line="260" w:lineRule="atLeast"/>
                    <w:ind w:left="0"/>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虚铺厚度</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9" w:hRule="atLeast"/>
              </w:trPr>
              <w:tc>
                <w:tcPr>
                  <w:tcW w:w="2226" w:type="pct"/>
                  <w:tcBorders>
                    <w:left w:val="single" w:color="auto" w:sz="4" w:space="0"/>
                  </w:tcBorders>
                  <w:vAlign w:val="center"/>
                </w:tcPr>
                <w:p>
                  <w:pPr>
                    <w:keepNext w:val="0"/>
                    <w:keepLines w:val="0"/>
                    <w:pageBreakBefore w:val="0"/>
                    <w:widowControl/>
                    <w:tabs>
                      <w:tab w:val="left" w:pos="1689"/>
                    </w:tabs>
                    <w:kinsoku/>
                    <w:wordWrap/>
                    <w:overflowPunct/>
                    <w:topLinePunct w:val="0"/>
                    <w:autoSpaceDE/>
                    <w:autoSpaceDN/>
                    <w:bidi w:val="0"/>
                    <w:snapToGrid w:val="0"/>
                    <w:spacing w:line="260" w:lineRule="atLeast"/>
                    <w:ind w:left="0"/>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木夯、铁夯</w:t>
                  </w:r>
                </w:p>
              </w:tc>
              <w:tc>
                <w:tcPr>
                  <w:tcW w:w="2773" w:type="pct"/>
                  <w:tcBorders>
                    <w:right w:val="single" w:color="auto" w:sz="4" w:space="0"/>
                  </w:tcBorders>
                  <w:vAlign w:val="center"/>
                </w:tcPr>
                <w:p>
                  <w:pPr>
                    <w:keepNext w:val="0"/>
                    <w:keepLines w:val="0"/>
                    <w:pageBreakBefore w:val="0"/>
                    <w:widowControl/>
                    <w:tabs>
                      <w:tab w:val="left" w:pos="1689"/>
                    </w:tabs>
                    <w:kinsoku/>
                    <w:wordWrap/>
                    <w:overflowPunct/>
                    <w:topLinePunct w:val="0"/>
                    <w:autoSpaceDE/>
                    <w:autoSpaceDN/>
                    <w:bidi w:val="0"/>
                    <w:snapToGrid w:val="0"/>
                    <w:spacing w:line="260" w:lineRule="atLeast"/>
                    <w:ind w:left="0"/>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≤200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23" w:hRule="atLeast"/>
              </w:trPr>
              <w:tc>
                <w:tcPr>
                  <w:tcW w:w="2226" w:type="pct"/>
                  <w:tcBorders>
                    <w:left w:val="single" w:color="auto" w:sz="4" w:space="0"/>
                  </w:tcBorders>
                  <w:vAlign w:val="center"/>
                </w:tcPr>
                <w:p>
                  <w:pPr>
                    <w:keepNext w:val="0"/>
                    <w:keepLines w:val="0"/>
                    <w:pageBreakBefore w:val="0"/>
                    <w:widowControl/>
                    <w:tabs>
                      <w:tab w:val="left" w:pos="1689"/>
                    </w:tabs>
                    <w:kinsoku/>
                    <w:wordWrap/>
                    <w:overflowPunct/>
                    <w:topLinePunct w:val="0"/>
                    <w:autoSpaceDE/>
                    <w:autoSpaceDN/>
                    <w:bidi w:val="0"/>
                    <w:snapToGrid w:val="0"/>
                    <w:spacing w:line="260" w:lineRule="atLeast"/>
                    <w:ind w:left="0"/>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轻型压实设备</w:t>
                  </w:r>
                </w:p>
              </w:tc>
              <w:tc>
                <w:tcPr>
                  <w:tcW w:w="2773" w:type="pct"/>
                  <w:tcBorders>
                    <w:right w:val="single" w:color="auto" w:sz="4" w:space="0"/>
                  </w:tcBorders>
                  <w:vAlign w:val="center"/>
                </w:tcPr>
                <w:p>
                  <w:pPr>
                    <w:keepNext w:val="0"/>
                    <w:keepLines w:val="0"/>
                    <w:pageBreakBefore w:val="0"/>
                    <w:widowControl/>
                    <w:tabs>
                      <w:tab w:val="left" w:pos="1689"/>
                    </w:tabs>
                    <w:kinsoku/>
                    <w:wordWrap/>
                    <w:overflowPunct/>
                    <w:topLinePunct w:val="0"/>
                    <w:autoSpaceDE/>
                    <w:autoSpaceDN/>
                    <w:bidi w:val="0"/>
                    <w:snapToGrid w:val="0"/>
                    <w:spacing w:line="260" w:lineRule="atLeast"/>
                    <w:ind w:left="0"/>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200～250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0" w:hRule="atLeast"/>
              </w:trPr>
              <w:tc>
                <w:tcPr>
                  <w:tcW w:w="2226" w:type="pct"/>
                  <w:tcBorders>
                    <w:left w:val="single" w:color="auto" w:sz="4" w:space="0"/>
                  </w:tcBorders>
                  <w:vAlign w:val="center"/>
                </w:tcPr>
                <w:p>
                  <w:pPr>
                    <w:keepNext w:val="0"/>
                    <w:keepLines w:val="0"/>
                    <w:pageBreakBefore w:val="0"/>
                    <w:widowControl/>
                    <w:tabs>
                      <w:tab w:val="left" w:pos="1689"/>
                    </w:tabs>
                    <w:kinsoku/>
                    <w:wordWrap/>
                    <w:overflowPunct/>
                    <w:topLinePunct w:val="0"/>
                    <w:autoSpaceDE/>
                    <w:autoSpaceDN/>
                    <w:bidi w:val="0"/>
                    <w:snapToGrid w:val="0"/>
                    <w:spacing w:line="260" w:lineRule="atLeast"/>
                    <w:ind w:left="0"/>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压路机</w:t>
                  </w:r>
                </w:p>
              </w:tc>
              <w:tc>
                <w:tcPr>
                  <w:tcW w:w="2773" w:type="pct"/>
                  <w:tcBorders>
                    <w:right w:val="single" w:color="auto" w:sz="4" w:space="0"/>
                  </w:tcBorders>
                  <w:vAlign w:val="center"/>
                </w:tcPr>
                <w:p>
                  <w:pPr>
                    <w:keepNext w:val="0"/>
                    <w:keepLines w:val="0"/>
                    <w:pageBreakBefore w:val="0"/>
                    <w:widowControl/>
                    <w:tabs>
                      <w:tab w:val="left" w:pos="1689"/>
                    </w:tabs>
                    <w:kinsoku/>
                    <w:wordWrap/>
                    <w:overflowPunct/>
                    <w:topLinePunct w:val="0"/>
                    <w:autoSpaceDE/>
                    <w:autoSpaceDN/>
                    <w:bidi w:val="0"/>
                    <w:snapToGrid w:val="0"/>
                    <w:spacing w:line="260" w:lineRule="atLeast"/>
                    <w:ind w:left="0"/>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200～300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7" w:hRule="atLeast"/>
              </w:trPr>
              <w:tc>
                <w:tcPr>
                  <w:tcW w:w="2226" w:type="pct"/>
                  <w:tcBorders>
                    <w:left w:val="single" w:color="auto" w:sz="4" w:space="0"/>
                  </w:tcBorders>
                  <w:vAlign w:val="center"/>
                </w:tcPr>
                <w:p>
                  <w:pPr>
                    <w:keepNext w:val="0"/>
                    <w:keepLines w:val="0"/>
                    <w:pageBreakBefore w:val="0"/>
                    <w:widowControl/>
                    <w:tabs>
                      <w:tab w:val="left" w:pos="1689"/>
                    </w:tabs>
                    <w:kinsoku/>
                    <w:wordWrap/>
                    <w:overflowPunct/>
                    <w:topLinePunct w:val="0"/>
                    <w:autoSpaceDE/>
                    <w:autoSpaceDN/>
                    <w:bidi w:val="0"/>
                    <w:snapToGrid w:val="0"/>
                    <w:spacing w:line="260" w:lineRule="atLeast"/>
                    <w:ind w:left="0"/>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振动压路机</w:t>
                  </w:r>
                </w:p>
              </w:tc>
              <w:tc>
                <w:tcPr>
                  <w:tcW w:w="2773" w:type="pct"/>
                  <w:tcBorders>
                    <w:right w:val="single" w:color="auto" w:sz="4" w:space="0"/>
                  </w:tcBorders>
                  <w:vAlign w:val="center"/>
                </w:tcPr>
                <w:p>
                  <w:pPr>
                    <w:keepNext w:val="0"/>
                    <w:keepLines w:val="0"/>
                    <w:pageBreakBefore w:val="0"/>
                    <w:widowControl/>
                    <w:tabs>
                      <w:tab w:val="left" w:pos="1689"/>
                    </w:tabs>
                    <w:kinsoku/>
                    <w:wordWrap/>
                    <w:overflowPunct/>
                    <w:topLinePunct w:val="0"/>
                    <w:autoSpaceDE/>
                    <w:autoSpaceDN/>
                    <w:bidi w:val="0"/>
                    <w:snapToGrid w:val="0"/>
                    <w:spacing w:line="260" w:lineRule="atLeast"/>
                    <w:ind w:left="0"/>
                    <w:jc w:val="left"/>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≤400</w:t>
                  </w:r>
                </w:p>
              </w:tc>
            </w:tr>
          </w:tbl>
          <w:p>
            <w:pPr>
              <w:keepNext w:val="0"/>
              <w:keepLines w:val="0"/>
              <w:pageBreakBefore w:val="0"/>
              <w:widowControl/>
              <w:kinsoku/>
              <w:wordWrap/>
              <w:overflowPunct/>
              <w:topLinePunct w:val="0"/>
              <w:autoSpaceDE/>
              <w:autoSpaceDN/>
              <w:bidi w:val="0"/>
              <w:snapToGrid w:val="0"/>
              <w:spacing w:line="260" w:lineRule="atLeast"/>
              <w:ind w:left="0"/>
              <w:jc w:val="left"/>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 xml:space="preserve">6.4.6.5 </w:t>
            </w:r>
            <w:r>
              <w:rPr>
                <w:rFonts w:hint="eastAsia" w:ascii="宋体" w:hAnsi="宋体" w:eastAsia="宋体" w:cs="宋体"/>
                <w:color w:val="auto"/>
                <w:kern w:val="0"/>
                <w:sz w:val="21"/>
                <w:szCs w:val="21"/>
                <w:highlight w:val="none"/>
              </w:rPr>
              <w:t>回填材料</w:t>
            </w:r>
            <w:r>
              <w:rPr>
                <w:rFonts w:hint="eastAsia" w:ascii="宋体" w:hAnsi="宋体" w:eastAsia="宋体" w:cs="宋体"/>
                <w:bCs/>
                <w:color w:val="auto"/>
                <w:sz w:val="21"/>
                <w:szCs w:val="21"/>
                <w:highlight w:val="none"/>
              </w:rPr>
              <w:t>不得用有机物、冻土、垃圾、木材及软性物质。管道周围两侧及管顶以上500mm范围内的回填土应采用细砂或细土，不得含有碎石、砖块等，且不得用灰土回填。距管顶500mm以上的回填土中的石块不得大于10％，直径不得大于100mm，且应均匀分。</w:t>
            </w:r>
          </w:p>
          <w:p>
            <w:pPr>
              <w:keepNext w:val="0"/>
              <w:keepLines w:val="0"/>
              <w:pageBreakBefore w:val="0"/>
              <w:widowControl/>
              <w:kinsoku/>
              <w:wordWrap/>
              <w:overflowPunct/>
              <w:topLinePunct w:val="0"/>
              <w:autoSpaceDE/>
              <w:autoSpaceDN/>
              <w:bidi w:val="0"/>
              <w:snapToGrid w:val="0"/>
              <w:spacing w:line="260" w:lineRule="atLeast"/>
              <w:ind w:left="0"/>
              <w:jc w:val="left"/>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6.4.6.6 回填前应将槽底施工遗留的杂物清除干净，且不得积水。</w:t>
            </w:r>
          </w:p>
          <w:p>
            <w:pPr>
              <w:keepNext w:val="0"/>
              <w:keepLines w:val="0"/>
              <w:pageBreakBefore w:val="0"/>
              <w:widowControl/>
              <w:kinsoku/>
              <w:wordWrap/>
              <w:overflowPunct/>
              <w:topLinePunct w:val="0"/>
              <w:autoSpaceDE/>
              <w:autoSpaceDN/>
              <w:bidi w:val="0"/>
              <w:snapToGrid w:val="0"/>
              <w:spacing w:line="260" w:lineRule="atLeast"/>
              <w:ind w:left="0"/>
              <w:jc w:val="left"/>
              <w:rPr>
                <w:rFonts w:hint="eastAsia" w:ascii="宋体" w:hAnsi="宋体" w:eastAsia="宋体" w:cs="宋体"/>
                <w:color w:val="auto"/>
                <w:kern w:val="0"/>
                <w:sz w:val="21"/>
                <w:szCs w:val="21"/>
                <w:highlight w:val="none"/>
              </w:rPr>
            </w:pPr>
            <w:r>
              <w:rPr>
                <w:rFonts w:hint="eastAsia" w:ascii="宋体" w:hAnsi="宋体" w:eastAsia="宋体" w:cs="宋体"/>
                <w:bCs/>
                <w:color w:val="auto"/>
                <w:sz w:val="21"/>
                <w:szCs w:val="21"/>
                <w:highlight w:val="none"/>
              </w:rPr>
              <w:t xml:space="preserve">6.4.6.7 </w:t>
            </w:r>
            <w:r>
              <w:rPr>
                <w:rFonts w:hint="eastAsia" w:ascii="宋体" w:hAnsi="宋体" w:eastAsia="宋体" w:cs="宋体"/>
                <w:color w:val="auto"/>
                <w:sz w:val="21"/>
                <w:szCs w:val="21"/>
                <w:highlight w:val="none"/>
              </w:rPr>
              <w:t>沟槽</w:t>
            </w:r>
            <w:r>
              <w:rPr>
                <w:rFonts w:hint="eastAsia" w:ascii="宋体" w:hAnsi="宋体" w:eastAsia="宋体" w:cs="宋体"/>
                <w:bCs/>
                <w:color w:val="auto"/>
                <w:sz w:val="21"/>
                <w:szCs w:val="21"/>
                <w:highlight w:val="none"/>
              </w:rPr>
              <w:t>回填土应分层压实，分层检查填土压实度，合格后方可进行上层填土施工。沟槽回填压实</w:t>
            </w:r>
            <w:r>
              <w:rPr>
                <w:rFonts w:hint="eastAsia" w:ascii="宋体" w:hAnsi="宋体" w:eastAsia="宋体" w:cs="宋体"/>
                <w:color w:val="auto"/>
                <w:kern w:val="0"/>
                <w:sz w:val="21"/>
                <w:szCs w:val="21"/>
                <w:highlight w:val="none"/>
              </w:rPr>
              <w:t>度应符合下列规定（</w:t>
            </w:r>
            <w:r>
              <w:rPr>
                <w:rFonts w:hint="eastAsia" w:ascii="宋体" w:hAnsi="宋体" w:eastAsia="宋体" w:cs="宋体"/>
                <w:bCs/>
                <w:color w:val="auto"/>
                <w:sz w:val="21"/>
                <w:szCs w:val="21"/>
                <w:highlight w:val="none"/>
              </w:rPr>
              <w:t>图6</w:t>
            </w:r>
            <w:r>
              <w:rPr>
                <w:rFonts w:hint="eastAsia" w:ascii="宋体" w:hAnsi="宋体" w:eastAsia="宋体" w:cs="宋体"/>
                <w:color w:val="auto"/>
                <w:kern w:val="0"/>
                <w:sz w:val="21"/>
                <w:szCs w:val="21"/>
                <w:highlight w:val="none"/>
              </w:rPr>
              <w:t>）。</w:t>
            </w:r>
          </w:p>
          <w:p>
            <w:pPr>
              <w:keepNext w:val="0"/>
              <w:keepLines w:val="0"/>
              <w:pageBreakBefore w:val="0"/>
              <w:widowControl/>
              <w:kinsoku/>
              <w:wordWrap/>
              <w:overflowPunct/>
              <w:topLinePunct w:val="0"/>
              <w:autoSpaceDE/>
              <w:autoSpaceDN/>
              <w:bidi w:val="0"/>
              <w:snapToGrid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object>
                <v:shape id="_x0000_i1026" o:spt="75" type="#_x0000_t75" style="height:134.8pt;width:291.45pt;" o:ole="t" filled="f" o:preferrelative="t" stroked="f" coordsize="21600,21600">
                  <v:path/>
                  <v:fill on="f" focussize="0,0"/>
                  <v:stroke on="f" joinstyle="miter"/>
                  <v:imagedata r:id="rId10" o:title=""/>
                  <o:lock v:ext="edit" aspectratio="t"/>
                  <w10:wrap type="none"/>
                  <w10:anchorlock/>
                </v:shape>
                <o:OLEObject Type="Embed" ProgID="AutoCAD.Drawing.17" ShapeID="_x0000_i1026" DrawAspect="Content" ObjectID="_1468075725" r:id="rId9">
                  <o:LockedField>false</o:LockedField>
                </o:OLEObject>
              </w:object>
            </w:r>
          </w:p>
          <w:p>
            <w:pPr>
              <w:keepNext w:val="0"/>
              <w:keepLines w:val="0"/>
              <w:pageBreakBefore w:val="0"/>
              <w:widowControl/>
              <w:kinsoku/>
              <w:wordWrap/>
              <w:overflowPunct/>
              <w:topLinePunct w:val="0"/>
              <w:autoSpaceDE/>
              <w:autoSpaceDN/>
              <w:bidi w:val="0"/>
              <w:snapToGrid w:val="0"/>
              <w:spacing w:line="260" w:lineRule="atLeast"/>
              <w:ind w:left="0"/>
              <w:jc w:val="center"/>
              <w:rPr>
                <w:rFonts w:hint="eastAsia" w:ascii="宋体" w:hAnsi="宋体" w:eastAsia="宋体" w:cs="宋体"/>
                <w:bCs/>
                <w:iCs/>
                <w:color w:val="auto"/>
                <w:sz w:val="21"/>
                <w:szCs w:val="21"/>
                <w:highlight w:val="none"/>
              </w:rPr>
            </w:pPr>
            <w:r>
              <w:rPr>
                <w:rFonts w:hint="eastAsia" w:ascii="宋体" w:hAnsi="宋体" w:eastAsia="宋体" w:cs="宋体"/>
                <w:bCs/>
                <w:iCs/>
                <w:color w:val="auto"/>
                <w:sz w:val="21"/>
                <w:szCs w:val="21"/>
                <w:highlight w:val="none"/>
              </w:rPr>
              <w:t>图6 回填土断面图</w:t>
            </w:r>
          </w:p>
          <w:p>
            <w:pPr>
              <w:keepNext w:val="0"/>
              <w:keepLines w:val="0"/>
              <w:pageBreakBefore w:val="0"/>
              <w:numPr>
                <w:ilvl w:val="0"/>
                <w:numId w:val="6"/>
              </w:numPr>
              <w:kinsoku/>
              <w:wordWrap/>
              <w:overflowPunct/>
              <w:topLinePunct w:val="0"/>
              <w:autoSpaceDE/>
              <w:autoSpaceDN/>
              <w:bidi w:val="0"/>
              <w:adjustRightInd w:val="0"/>
              <w:snapToGrid w:val="0"/>
              <w:spacing w:line="260" w:lineRule="atLeast"/>
              <w:ind w:left="0" w:firstLine="210" w:firstLineChars="100"/>
              <w:jc w:val="left"/>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对（Ⅰ）区部位，采用中、粗砂或细土分层回填，每层厚度为100mm～200mm。压实度不应小于90%；</w:t>
            </w:r>
          </w:p>
          <w:p>
            <w:pPr>
              <w:keepNext w:val="0"/>
              <w:keepLines w:val="0"/>
              <w:pageBreakBefore w:val="0"/>
              <w:numPr>
                <w:ilvl w:val="0"/>
                <w:numId w:val="6"/>
              </w:numPr>
              <w:kinsoku/>
              <w:wordWrap/>
              <w:overflowPunct/>
              <w:topLinePunct w:val="0"/>
              <w:autoSpaceDE/>
              <w:autoSpaceDN/>
              <w:bidi w:val="0"/>
              <w:adjustRightInd w:val="0"/>
              <w:snapToGrid w:val="0"/>
              <w:spacing w:line="260" w:lineRule="atLeast"/>
              <w:ind w:left="0" w:firstLine="210" w:firstLineChars="100"/>
              <w:jc w:val="left"/>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对（Ⅱ）区部位，采用符合要求的原土或中、粗砂回填，压实度不应小于85%；</w:t>
            </w:r>
          </w:p>
          <w:p>
            <w:pPr>
              <w:keepNext w:val="0"/>
              <w:keepLines w:val="0"/>
              <w:pageBreakBefore w:val="0"/>
              <w:numPr>
                <w:ilvl w:val="0"/>
                <w:numId w:val="6"/>
              </w:numPr>
              <w:kinsoku/>
              <w:wordWrap/>
              <w:overflowPunct/>
              <w:topLinePunct w:val="0"/>
              <w:autoSpaceDE/>
              <w:autoSpaceDN/>
              <w:bidi w:val="0"/>
              <w:adjustRightInd w:val="0"/>
              <w:snapToGrid w:val="0"/>
              <w:spacing w:line="260" w:lineRule="atLeast"/>
              <w:ind w:left="0" w:firstLine="210" w:firstLineChars="100"/>
              <w:jc w:val="left"/>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对（Ⅲ）区部位，采用符合要求的原土或中、粗砂回填，压实度不应小于90%；</w:t>
            </w:r>
          </w:p>
          <w:p>
            <w:pPr>
              <w:keepNext w:val="0"/>
              <w:keepLines w:val="0"/>
              <w:pageBreakBefore w:val="0"/>
              <w:numPr>
                <w:ilvl w:val="0"/>
                <w:numId w:val="6"/>
              </w:numPr>
              <w:kinsoku/>
              <w:wordWrap/>
              <w:overflowPunct/>
              <w:topLinePunct w:val="0"/>
              <w:autoSpaceDE/>
              <w:autoSpaceDN/>
              <w:bidi w:val="0"/>
              <w:adjustRightInd w:val="0"/>
              <w:snapToGrid w:val="0"/>
              <w:spacing w:line="260" w:lineRule="atLeast"/>
              <w:ind w:left="0" w:firstLine="210" w:firstLineChars="100"/>
              <w:jc w:val="left"/>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对（Ⅳ）区部位，采用原土分层回填，压实度应符合相应地面对压实度的要求。</w:t>
            </w:r>
          </w:p>
          <w:p>
            <w:pPr>
              <w:keepNext w:val="0"/>
              <w:keepLines w:val="0"/>
              <w:pageBreakBefore w:val="0"/>
              <w:widowControl/>
              <w:kinsoku/>
              <w:wordWrap/>
              <w:overflowPunct/>
              <w:topLinePunct w:val="0"/>
              <w:autoSpaceDE/>
              <w:autoSpaceDN/>
              <w:bidi w:val="0"/>
              <w:snapToGrid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bCs/>
                <w:iCs/>
                <w:color w:val="auto"/>
                <w:sz w:val="21"/>
                <w:szCs w:val="21"/>
                <w:highlight w:val="none"/>
              </w:rPr>
              <w:t xml:space="preserve">6.4.6.8 </w:t>
            </w:r>
            <w:r>
              <w:rPr>
                <w:rFonts w:hint="eastAsia" w:ascii="宋体" w:hAnsi="宋体" w:eastAsia="宋体" w:cs="宋体"/>
                <w:color w:val="auto"/>
                <w:sz w:val="21"/>
                <w:szCs w:val="21"/>
                <w:highlight w:val="none"/>
              </w:rPr>
              <w:t>基坑</w:t>
            </w:r>
            <w:r>
              <w:rPr>
                <w:rFonts w:hint="eastAsia" w:ascii="宋体" w:hAnsi="宋体" w:eastAsia="宋体" w:cs="宋体"/>
                <w:iCs/>
                <w:color w:val="auto"/>
                <w:sz w:val="21"/>
                <w:szCs w:val="21"/>
                <w:highlight w:val="none"/>
              </w:rPr>
              <w:t>回填土</w:t>
            </w:r>
            <w:r>
              <w:rPr>
                <w:rFonts w:hint="eastAsia" w:ascii="宋体" w:hAnsi="宋体" w:eastAsia="宋体" w:cs="宋体"/>
                <w:color w:val="auto"/>
                <w:sz w:val="21"/>
                <w:szCs w:val="21"/>
                <w:highlight w:val="none"/>
              </w:rPr>
              <w:t>的压实度应大于或等于95</w:t>
            </w:r>
            <w:r>
              <w:rPr>
                <w:rFonts w:hint="eastAsia" w:ascii="宋体" w:hAnsi="宋体" w:eastAsia="宋体" w:cs="宋体"/>
                <w:bCs/>
                <w:color w:val="auto"/>
                <w:sz w:val="21"/>
                <w:szCs w:val="21"/>
                <w:highlight w:val="none"/>
              </w:rPr>
              <w:t>%</w:t>
            </w:r>
            <w:r>
              <w:rPr>
                <w:rFonts w:hint="eastAsia" w:ascii="宋体" w:hAnsi="宋体" w:eastAsia="宋体" w:cs="宋体"/>
                <w:color w:val="auto"/>
                <w:sz w:val="21"/>
                <w:szCs w:val="21"/>
                <w:highlight w:val="none"/>
              </w:rPr>
              <w:t>。</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bCs/>
                <w:color w:val="auto"/>
                <w:sz w:val="21"/>
                <w:szCs w:val="21"/>
                <w:highlight w:val="none"/>
                <w:lang w:val="zh-TW" w:eastAsia="zh-TW"/>
              </w:rPr>
            </w:pPr>
            <w:r>
              <w:rPr>
                <w:rFonts w:hint="eastAsia" w:ascii="宋体" w:hAnsi="宋体" w:eastAsia="宋体" w:cs="宋体"/>
                <w:color w:val="auto"/>
                <w:kern w:val="0"/>
                <w:sz w:val="21"/>
                <w:szCs w:val="21"/>
                <w:highlight w:val="none"/>
                <w:lang w:bidi="ar"/>
              </w:rPr>
              <w:t>6.4.6.9 燃气管道与其他地下管线或设施交叉安装完成后，其交叉位置2m范围内的沟槽回填应密实，以免对其他管线造成影响，可采用水撼砂或其他材料回填，湿陷性黄土地区应严格控制水撼砂含水量。水撼砂为采自河槽或料场的中细砂，回填前应剔除砂子中的石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3.2.2</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b/>
                <w:bCs/>
                <w:color w:val="auto"/>
                <w:spacing w:val="-6"/>
                <w:kern w:val="0"/>
                <w:sz w:val="21"/>
                <w:szCs w:val="21"/>
                <w:highlight w:val="none"/>
              </w:rPr>
            </w:pPr>
            <w:r>
              <w:rPr>
                <w:rFonts w:hint="eastAsia" w:ascii="宋体" w:hAnsi="宋体" w:eastAsia="宋体" w:cs="宋体"/>
                <w:b/>
                <w:bCs/>
                <w:color w:val="auto"/>
                <w:sz w:val="21"/>
                <w:szCs w:val="21"/>
                <w:highlight w:val="none"/>
              </w:rPr>
              <w:t>材料设备的检查验收与装卸、运输、存放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3.2.2.1</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材料设备的检查验收与装卸、运输、存放</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建设单位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工程用材料设备进入施工现场时必须进行检查验收，其型号、规格、材质、压力等级、执行标准等应符合设计要求，其质量应符合相关产品标准及订货合同的规定。</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《压力管道规范公用管道》GB/T38942-2020</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6.1.6 管道工程施工所使用的管材、设备、管道组成件、压力容器及元件、防腐材料、阴极保护材料、管道标示材料等，应符合设计要求，其质量应符合国家现行有关产品标准的规定，并具有材质证明文件、质量证明书、出厂质量合格文件以及使用说明书。</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6.2.1.1 在入库和进入施工现场安装前，应对管道组成件进行检查，其材质、规格、型号应符合设计文件和合同的规定，并应按现行的国家产品标准进行外观、椭圆度、壁厚、尺寸等检查；对外观质量设计文件或本标准有要求时应进行有关质量检验，不合格者不得使用。</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6.2.1.2 当有相关文件要求时，应对材料进行复验。复检的材料应按照相关规范的规定进行复检。牌号及质量性能不明的材料不应用于管道（承压）组成件，不合格的材料、管道附件、设备不应安装使用。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6.2.1.3 管道组成件应逐件进行核实并标记，标志内容一般包括制造单位代号或商标、许可标志、材料（牌号或强度等级、规格、炉批号）、产品编号等。产品规格较小，无法标记全部内容时，可采用标签或按照相关要求省略部分内容。产品标志应能够追溯到产品质量证明文件。</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6.2.1.4 现场安装的阀门应逐个进行外观检查，其外观质量应符合下列要求：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a）阀体、阀盖、阀外表面无气孔、砂眼、裂纹等；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b）垫片、填料应满足介质要求，安装应正确；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c）丝杆、手轮、手柄无毛刺、划痕，且传动机构操作灵活、指示正确；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d）铭牌完好无缺，标识清晰完整；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e）</w:t>
            </w:r>
            <w:r>
              <w:rPr>
                <w:rFonts w:hint="eastAsia" w:ascii="宋体" w:hAnsi="宋体" w:eastAsia="宋体" w:cs="宋体"/>
                <w:color w:val="auto"/>
                <w:sz w:val="21"/>
                <w:szCs w:val="21"/>
                <w:highlight w:val="none"/>
              </w:rPr>
              <w:t>备品备件应数量齐全、完好无损。</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6.2.1.6 法兰的公称压力应符合设计要求，法兰密封面应平整光洁，不得有毛刺及径向沟槽。法兰螺纹部分应完整，无损伤。凹凸面法兰应能自然嵌合，凸面的高度不得低于凹槽的深度。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6.2.1.7 螺栓及螺母的螺纹应完整，不得有伤痕、毛刺等缺陷；螺栓与螺母应配合良好，不得有松动或卡涩现象。设计压力大于或等于1.6MPa的管道使用的高强度螺栓、螺母设计文件有疑问时，应按照相关规范要求进行复验。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6.2.1.8 石棉橡胶垫、橡胶垫及软塑料等非金属垫片应质地柔韧，不得有老化变质或分层现象，表面不应有折损、皱纹等缺陷；金属垫片的加工尺寸、精度、光洁度及硬度应符合要求，表面不得有裂纹、毛刺、凹槽、径向划痕及锈斑等缺陷；包金属及缠绕式垫片不应有径向划痕、松散、翘曲等缺陷。</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6.2.7.3 焊条应无破损、霉变、油污、锈蚀，焊丝应无锈蚀和折弯，焊剂应无变质现象，保护气体的纯度和干燥度应满足焊接工艺规程的要求。</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6.3.3.2 补偿器进场后应检查产品合格证，核对产品型号，并对外观质量和安装尺寸进行复检，安装前不得拆除运输紧固装置。</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w:t>
            </w:r>
            <w:r>
              <w:rPr>
                <w:rFonts w:hint="eastAsia" w:ascii="宋体" w:hAnsi="宋体" w:eastAsia="宋体" w:cs="宋体"/>
                <w:color w:val="auto"/>
                <w:kern w:val="0"/>
                <w:sz w:val="21"/>
                <w:szCs w:val="21"/>
                <w:highlight w:val="none"/>
                <w:u w:val="single"/>
                <w:lang w:bidi="ar"/>
              </w:rPr>
              <w:t>验收时应特别留意相关材料的限制使用原则</w:t>
            </w:r>
            <w:r>
              <w:rPr>
                <w:rFonts w:hint="eastAsia" w:ascii="宋体" w:hAnsi="宋体" w:eastAsia="宋体" w:cs="宋体"/>
                <w:color w:val="auto"/>
                <w:kern w:val="0"/>
                <w:sz w:val="21"/>
                <w:szCs w:val="21"/>
                <w:highlight w:val="none"/>
                <w:lang w:bidi="ar"/>
              </w:rPr>
              <w:t>：</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4.3.1.2 管材不得选用灰口铸铁和可锻铸铁材料。敷设在综合管廊的燃气管道应选用钢管。</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4.3.1.4 管材选用聚乙烯燃气管道材料时，应符合下列规定：</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c）聚乙烯管材焊制成型的管件不得用于聚乙烯燃气管道系统；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4.3.2.5 用于生产螺旋缝埋弧焊钢管的钢带宽度不得小于钢管公称外径的0.8倍，也不得大于钢管公称外径的3.0倍。钢板或板卷不得含有任何补焊焊缝，制管过程中也不得进行补焊。</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4.3.3.1 冷弯管可采用直缝埋弧焊钢管（SAWL）、螺旋缝埋弧焊钢管（SAWH）和无缝钢管制作。设计压力大于4.0MPa、L485及以上的燃气管道用冷弯管应采用直缝埋弧焊钢管（SAWL）或无缝钢管制作。</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4.3.3.4 不得采用螺旋缝钢管制作热煨弯管，用于制作热煨弯管的钢管不得有对接的环焊缝，其壁厚应有足够的裕量以满足由于感应加热弯制带来的外弧侧壁厚减薄。</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4.3.4.2 制造管件的原材料应为各类锻件、板材、无缝管或有填充金属的焊接钢管。弯头本体不应有丁字或环形焊缝。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《油气长输管道工程施工及验收规范》GB50369-2014</w:t>
            </w:r>
          </w:p>
        </w:tc>
        <w:tc>
          <w:tcPr>
            <w:tcW w:w="11060" w:type="dxa"/>
            <w:vAlign w:val="center"/>
          </w:tcPr>
          <w:p>
            <w:pPr>
              <w:pStyle w:val="115"/>
              <w:keepNext w:val="0"/>
              <w:keepLines w:val="0"/>
              <w:pageBreakBefore w:val="0"/>
              <w:tabs>
                <w:tab w:val="left" w:pos="557"/>
              </w:tabs>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 xml:space="preserve">4.1.2 </w:t>
            </w:r>
            <w:r>
              <w:rPr>
                <w:rFonts w:hint="eastAsia" w:ascii="宋体" w:hAnsi="宋体" w:eastAsia="宋体" w:cs="宋体"/>
                <w:color w:val="auto"/>
                <w:sz w:val="21"/>
                <w:szCs w:val="21"/>
                <w:highlight w:val="none"/>
              </w:rPr>
              <w:t>管道线路的热煨弯管、冷弯管应符合表</w:t>
            </w:r>
            <w:r>
              <w:rPr>
                <w:rFonts w:hint="eastAsia" w:ascii="宋体" w:hAnsi="宋体" w:eastAsia="宋体" w:cs="宋体"/>
                <w:color w:val="auto"/>
                <w:sz w:val="21"/>
                <w:szCs w:val="21"/>
                <w:highlight w:val="none"/>
                <w:lang w:val="en-US" w:eastAsia="zh-CN" w:bidi="en-US"/>
              </w:rPr>
              <w:t>4.1.2</w:t>
            </w:r>
            <w:r>
              <w:rPr>
                <w:rFonts w:hint="eastAsia" w:ascii="宋体" w:hAnsi="宋体" w:eastAsia="宋体" w:cs="宋体"/>
                <w:color w:val="auto"/>
                <w:sz w:val="21"/>
                <w:szCs w:val="21"/>
                <w:highlight w:val="none"/>
              </w:rPr>
              <w:t>的规定。</w:t>
            </w:r>
          </w:p>
          <w:p>
            <w:pPr>
              <w:pStyle w:val="125"/>
              <w:keepNext w:val="0"/>
              <w:keepLines w:val="0"/>
              <w:pageBreakBefore w:val="0"/>
              <w:kinsoku/>
              <w:wordWrap/>
              <w:overflowPunct/>
              <w:topLinePunct w:val="0"/>
              <w:autoSpaceDE/>
              <w:autoSpaceDN/>
              <w:bidi w:val="0"/>
              <w:spacing w:after="0" w:line="260" w:lineRule="atLeast"/>
              <w:ind w:left="0" w:firstLine="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表</w:t>
            </w:r>
            <w:r>
              <w:rPr>
                <w:rFonts w:hint="eastAsia" w:ascii="宋体" w:hAnsi="宋体" w:eastAsia="宋体" w:cs="宋体"/>
                <w:color w:val="auto"/>
                <w:sz w:val="21"/>
                <w:szCs w:val="21"/>
                <w:highlight w:val="none"/>
                <w:lang w:val="en-US" w:eastAsia="zh-CN" w:bidi="en-US"/>
              </w:rPr>
              <w:t>4.1.2</w:t>
            </w:r>
            <w:r>
              <w:rPr>
                <w:rFonts w:hint="eastAsia" w:ascii="宋体" w:hAnsi="宋体" w:eastAsia="宋体" w:cs="宋体"/>
                <w:color w:val="auto"/>
                <w:sz w:val="21"/>
                <w:szCs w:val="21"/>
                <w:highlight w:val="none"/>
                <w:lang w:val="en-US" w:eastAsia="zh-CN" w:bidi="en-US"/>
              </w:rPr>
              <w:t xml:space="preserve"> </w:t>
            </w:r>
            <w:r>
              <w:rPr>
                <w:rFonts w:hint="eastAsia" w:ascii="宋体" w:hAnsi="宋体" w:eastAsia="宋体" w:cs="宋体"/>
                <w:color w:val="auto"/>
                <w:sz w:val="21"/>
                <w:szCs w:val="21"/>
                <w:highlight w:val="none"/>
              </w:rPr>
              <w:t>管道线路的热煨弯管、冷弯管的规定</w:t>
            </w:r>
          </w:p>
          <w:tbl>
            <w:tblPr>
              <w:tblStyle w:val="20"/>
              <w:tblW w:w="10842" w:type="dxa"/>
              <w:jc w:val="center"/>
              <w:tblLayout w:type="autofit"/>
              <w:tblCellMar>
                <w:top w:w="0" w:type="dxa"/>
                <w:left w:w="10" w:type="dxa"/>
                <w:bottom w:w="0" w:type="dxa"/>
                <w:right w:w="10" w:type="dxa"/>
              </w:tblCellMar>
            </w:tblPr>
            <w:tblGrid>
              <w:gridCol w:w="1265"/>
              <w:gridCol w:w="1176"/>
              <w:gridCol w:w="1946"/>
              <w:gridCol w:w="2887"/>
              <w:gridCol w:w="3568"/>
            </w:tblGrid>
            <w:tr>
              <w:tblPrEx>
                <w:tblCellMar>
                  <w:top w:w="0" w:type="dxa"/>
                  <w:left w:w="10" w:type="dxa"/>
                  <w:bottom w:w="0" w:type="dxa"/>
                  <w:right w:w="10" w:type="dxa"/>
                </w:tblCellMar>
              </w:tblPrEx>
              <w:trPr>
                <w:trHeight w:val="331" w:hRule="exact"/>
                <w:jc w:val="center"/>
              </w:trPr>
              <w:tc>
                <w:tcPr>
                  <w:tcW w:w="1125" w:type="pct"/>
                  <w:gridSpan w:val="2"/>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种类</w:t>
                  </w:r>
                </w:p>
              </w:tc>
              <w:tc>
                <w:tcPr>
                  <w:tcW w:w="897" w:type="pc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曲率半径</w:t>
                  </w:r>
                </w:p>
              </w:tc>
              <w:tc>
                <w:tcPr>
                  <w:tcW w:w="1331" w:type="pc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外观和主要尺寸</w:t>
                  </w:r>
                </w:p>
              </w:tc>
              <w:tc>
                <w:tcPr>
                  <w:tcW w:w="1645" w:type="pct"/>
                  <w:tcBorders>
                    <w:top w:val="single" w:color="auto" w:sz="4" w:space="0"/>
                    <w:left w:val="single" w:color="auto" w:sz="4" w:space="0"/>
                    <w:righ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其他规定</w:t>
                  </w:r>
                </w:p>
              </w:tc>
            </w:tr>
            <w:tr>
              <w:tblPrEx>
                <w:tblCellMar>
                  <w:top w:w="0" w:type="dxa"/>
                  <w:left w:w="10" w:type="dxa"/>
                  <w:bottom w:w="0" w:type="dxa"/>
                  <w:right w:w="10" w:type="dxa"/>
                </w:tblCellMar>
              </w:tblPrEx>
              <w:trPr>
                <w:trHeight w:val="1421" w:hRule="exact"/>
                <w:jc w:val="center"/>
              </w:trPr>
              <w:tc>
                <w:tcPr>
                  <w:tcW w:w="1125" w:type="pct"/>
                  <w:gridSpan w:val="2"/>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热煨弯管</w:t>
                  </w:r>
                </w:p>
              </w:tc>
              <w:tc>
                <w:tcPr>
                  <w:tcW w:w="897" w:type="pc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en-US"/>
                    </w:rPr>
                    <w:t>≥4D</w:t>
                  </w:r>
                </w:p>
              </w:tc>
              <w:tc>
                <w:tcPr>
                  <w:tcW w:w="1331" w:type="pc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无褶皱、裂纹、重皮、机械损伤；两端椭圆度小于或等于1</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0%</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其他部位的椭</w:t>
                  </w:r>
                  <w:r>
                    <w:rPr>
                      <w:rFonts w:hint="eastAsia" w:ascii="宋体" w:hAnsi="宋体" w:eastAsia="宋体" w:cs="宋体"/>
                      <w:color w:val="auto"/>
                      <w:sz w:val="21"/>
                      <w:szCs w:val="21"/>
                      <w:highlight w:val="none"/>
                      <w:lang w:eastAsia="zh-CN"/>
                    </w:rPr>
                    <w:t>圆</w:t>
                  </w:r>
                  <w:r>
                    <w:rPr>
                      <w:rFonts w:hint="eastAsia" w:ascii="宋体" w:hAnsi="宋体" w:eastAsia="宋体" w:cs="宋体"/>
                      <w:color w:val="auto"/>
                      <w:sz w:val="21"/>
                      <w:szCs w:val="21"/>
                      <w:highlight w:val="none"/>
                    </w:rPr>
                    <w:t>度不应大于2.5%</w:t>
                  </w:r>
                  <w:r>
                    <w:rPr>
                      <w:rFonts w:hint="eastAsia" w:ascii="宋体" w:hAnsi="宋体" w:eastAsia="宋体" w:cs="宋体"/>
                      <w:color w:val="auto"/>
                      <w:sz w:val="21"/>
                      <w:szCs w:val="21"/>
                      <w:highlight w:val="none"/>
                      <w:lang w:eastAsia="zh-CN"/>
                    </w:rPr>
                    <w:t>。</w:t>
                  </w:r>
                </w:p>
              </w:tc>
              <w:tc>
                <w:tcPr>
                  <w:tcW w:w="1645" w:type="pct"/>
                  <w:tcBorders>
                    <w:top w:val="single" w:color="auto" w:sz="4" w:space="0"/>
                    <w:left w:val="single" w:color="auto" w:sz="4" w:space="0"/>
                    <w:righ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应满足清管器和探测仪器顺利通过。端部直管段保留长度：</w:t>
                  </w:r>
                  <w:r>
                    <w:rPr>
                      <w:rFonts w:hint="eastAsia" w:ascii="宋体" w:hAnsi="宋体" w:eastAsia="宋体" w:cs="宋体"/>
                      <w:color w:val="auto"/>
                      <w:sz w:val="21"/>
                      <w:szCs w:val="21"/>
                      <w:highlight w:val="none"/>
                      <w:lang w:val="en-US" w:eastAsia="zh-CN"/>
                    </w:rPr>
                    <w:t>DN&lt;500mm</w:t>
                  </w:r>
                  <w:r>
                    <w:rPr>
                      <w:rFonts w:hint="eastAsia" w:ascii="宋体" w:hAnsi="宋体" w:eastAsia="宋体" w:cs="宋体"/>
                      <w:color w:val="auto"/>
                      <w:sz w:val="21"/>
                      <w:szCs w:val="21"/>
                      <w:highlight w:val="none"/>
                    </w:rPr>
                    <w:t>时，不小于</w:t>
                  </w:r>
                  <w:r>
                    <w:rPr>
                      <w:rFonts w:hint="eastAsia" w:ascii="宋体" w:hAnsi="宋体" w:eastAsia="宋体" w:cs="宋体"/>
                      <w:color w:val="auto"/>
                      <w:sz w:val="21"/>
                      <w:szCs w:val="21"/>
                      <w:highlight w:val="none"/>
                      <w:lang w:val="en-US" w:eastAsia="zh-CN"/>
                    </w:rPr>
                    <w:t>250mm；DN&gt;500mm</w:t>
                  </w:r>
                  <w:r>
                    <w:rPr>
                      <w:rFonts w:hint="eastAsia" w:ascii="宋体" w:hAnsi="宋体" w:eastAsia="宋体" w:cs="宋体"/>
                      <w:color w:val="auto"/>
                      <w:sz w:val="21"/>
                      <w:szCs w:val="21"/>
                      <w:highlight w:val="none"/>
                    </w:rPr>
                    <w:t>时，不小于</w:t>
                  </w:r>
                  <w:r>
                    <w:rPr>
                      <w:rFonts w:hint="eastAsia" w:ascii="宋体" w:hAnsi="宋体" w:eastAsia="宋体" w:cs="宋体"/>
                      <w:color w:val="auto"/>
                      <w:sz w:val="21"/>
                      <w:szCs w:val="21"/>
                      <w:highlight w:val="none"/>
                      <w:lang w:val="en-US" w:eastAsia="zh-CN"/>
                    </w:rPr>
                    <w:t>500mm。</w:t>
                  </w:r>
                </w:p>
              </w:tc>
            </w:tr>
            <w:tr>
              <w:tblPrEx>
                <w:tblCellMar>
                  <w:top w:w="0" w:type="dxa"/>
                  <w:left w:w="10" w:type="dxa"/>
                  <w:bottom w:w="0" w:type="dxa"/>
                  <w:right w:w="10" w:type="dxa"/>
                </w:tblCellMar>
              </w:tblPrEx>
              <w:trPr>
                <w:trHeight w:val="306" w:hRule="exact"/>
                <w:jc w:val="center"/>
              </w:trPr>
              <w:tc>
                <w:tcPr>
                  <w:tcW w:w="583" w:type="pct"/>
                  <w:vMerge w:val="restar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冷弯管</w:t>
                  </w:r>
                </w:p>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en-US"/>
                    </w:rPr>
                    <w:t>DN</w:t>
                  </w:r>
                  <w:r>
                    <w:rPr>
                      <w:rFonts w:hint="eastAsia" w:ascii="宋体" w:hAnsi="宋体" w:eastAsia="宋体" w:cs="宋体"/>
                      <w:color w:val="auto"/>
                      <w:sz w:val="21"/>
                      <w:szCs w:val="21"/>
                      <w:highlight w:val="none"/>
                      <w:lang w:val="en-US" w:eastAsia="zh-CN"/>
                    </w:rPr>
                    <w:t>（mm）</w:t>
                  </w:r>
                </w:p>
              </w:tc>
              <w:tc>
                <w:tcPr>
                  <w:tcW w:w="541" w:type="pct"/>
                  <w:tcBorders>
                    <w:top w:val="single" w:color="auto" w:sz="4" w:space="0"/>
                    <w:left w:val="single" w:color="auto" w:sz="4" w:space="0"/>
                  </w:tcBorders>
                  <w:shd w:val="clear" w:color="auto" w:fill="FFFFFF"/>
                  <w:vAlign w:val="center"/>
                </w:tcPr>
                <w:p>
                  <w:pPr>
                    <w:pStyle w:val="120"/>
                    <w:keepNext w:val="0"/>
                    <w:keepLines w:val="0"/>
                    <w:pageBreakBefore w:val="0"/>
                    <w:widowControl w:val="0"/>
                    <w:kinsoku/>
                    <w:wordWrap/>
                    <w:overflowPunct/>
                    <w:topLinePunct w:val="0"/>
                    <w:autoSpaceDE/>
                    <w:autoSpaceDN/>
                    <w:bidi w:val="0"/>
                    <w:adjustRightInd/>
                    <w:snapToGrid/>
                    <w:spacing w:line="260" w:lineRule="atLeast"/>
                    <w:ind w:left="0" w:firstLine="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≤300</w:t>
                  </w:r>
                </w:p>
              </w:tc>
              <w:tc>
                <w:tcPr>
                  <w:tcW w:w="897" w:type="pc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en-US"/>
                    </w:rPr>
                    <w:t>≥</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lang w:val="en-US" w:eastAsia="en-US"/>
                    </w:rPr>
                    <w:t>8D</w:t>
                  </w:r>
                </w:p>
              </w:tc>
              <w:tc>
                <w:tcPr>
                  <w:tcW w:w="1331" w:type="pct"/>
                  <w:vMerge w:val="restar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24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无褶皱、裂纹、机械损伤；弯管椭圆度弯管部分小于或等于2.5%</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直管部分小于或等于1.0</w:t>
                  </w:r>
                  <w:r>
                    <w:rPr>
                      <w:rFonts w:hint="eastAsia" w:ascii="宋体" w:hAnsi="宋体" w:eastAsia="宋体" w:cs="宋体"/>
                      <w:color w:val="auto"/>
                      <w:sz w:val="21"/>
                      <w:szCs w:val="21"/>
                      <w:highlight w:val="none"/>
                      <w:lang w:val="en-US" w:eastAsia="zh-CN"/>
                    </w:rPr>
                    <w:t>%。</w:t>
                  </w:r>
                </w:p>
              </w:tc>
              <w:tc>
                <w:tcPr>
                  <w:tcW w:w="1645" w:type="pct"/>
                  <w:vMerge w:val="restart"/>
                  <w:tcBorders>
                    <w:top w:val="single" w:color="auto" w:sz="4" w:space="0"/>
                    <w:left w:val="single" w:color="auto" w:sz="4" w:space="0"/>
                    <w:righ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端部直管段长度不小于</w:t>
                  </w:r>
                  <w:r>
                    <w:rPr>
                      <w:rFonts w:hint="eastAsia" w:ascii="宋体" w:hAnsi="宋体" w:eastAsia="宋体" w:cs="宋体"/>
                      <w:color w:val="auto"/>
                      <w:sz w:val="21"/>
                      <w:szCs w:val="21"/>
                      <w:highlight w:val="none"/>
                      <w:lang w:val="en-US" w:eastAsia="zh-CN"/>
                    </w:rPr>
                    <w:t>2m。</w:t>
                  </w:r>
                </w:p>
              </w:tc>
            </w:tr>
            <w:tr>
              <w:tblPrEx>
                <w:tblCellMar>
                  <w:top w:w="0" w:type="dxa"/>
                  <w:left w:w="10" w:type="dxa"/>
                  <w:bottom w:w="0" w:type="dxa"/>
                  <w:right w:w="10" w:type="dxa"/>
                </w:tblCellMar>
              </w:tblPrEx>
              <w:trPr>
                <w:trHeight w:val="281" w:hRule="exact"/>
                <w:jc w:val="center"/>
              </w:trPr>
              <w:tc>
                <w:tcPr>
                  <w:tcW w:w="583" w:type="pct"/>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541" w:type="pct"/>
                  <w:tcBorders>
                    <w:top w:val="single" w:color="auto" w:sz="4" w:space="0"/>
                    <w:left w:val="single" w:color="auto" w:sz="4" w:space="0"/>
                  </w:tcBorders>
                  <w:shd w:val="clear" w:color="auto" w:fill="FFFFFF"/>
                  <w:vAlign w:val="center"/>
                </w:tcPr>
                <w:p>
                  <w:pPr>
                    <w:pStyle w:val="120"/>
                    <w:keepNext w:val="0"/>
                    <w:keepLines w:val="0"/>
                    <w:pageBreakBefore w:val="0"/>
                    <w:widowControl w:val="0"/>
                    <w:kinsoku/>
                    <w:wordWrap/>
                    <w:overflowPunct/>
                    <w:topLinePunct w:val="0"/>
                    <w:autoSpaceDE/>
                    <w:autoSpaceDN/>
                    <w:bidi w:val="0"/>
                    <w:adjustRightInd/>
                    <w:snapToGrid/>
                    <w:spacing w:line="260" w:lineRule="atLeast"/>
                    <w:ind w:left="0" w:firstLine="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350</w:t>
                  </w:r>
                </w:p>
              </w:tc>
              <w:tc>
                <w:tcPr>
                  <w:tcW w:w="897" w:type="pc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≥21D</w:t>
                  </w:r>
                </w:p>
              </w:tc>
              <w:tc>
                <w:tcPr>
                  <w:tcW w:w="1331" w:type="pct"/>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645" w:type="pct"/>
                  <w:vMerge w:val="continue"/>
                  <w:tcBorders>
                    <w:left w:val="single" w:color="auto" w:sz="4" w:space="0"/>
                    <w:righ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r>
            <w:tr>
              <w:tblPrEx>
                <w:tblCellMar>
                  <w:top w:w="0" w:type="dxa"/>
                  <w:left w:w="10" w:type="dxa"/>
                  <w:bottom w:w="0" w:type="dxa"/>
                  <w:right w:w="10" w:type="dxa"/>
                </w:tblCellMar>
              </w:tblPrEx>
              <w:trPr>
                <w:trHeight w:val="292" w:hRule="exact"/>
                <w:jc w:val="center"/>
              </w:trPr>
              <w:tc>
                <w:tcPr>
                  <w:tcW w:w="583" w:type="pct"/>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541" w:type="pct"/>
                  <w:tcBorders>
                    <w:top w:val="single" w:color="auto" w:sz="4" w:space="0"/>
                    <w:left w:val="single" w:color="auto" w:sz="4" w:space="0"/>
                  </w:tcBorders>
                  <w:shd w:val="clear" w:color="auto" w:fill="FFFFFF"/>
                  <w:vAlign w:val="center"/>
                </w:tcPr>
                <w:p>
                  <w:pPr>
                    <w:pStyle w:val="120"/>
                    <w:keepNext w:val="0"/>
                    <w:keepLines w:val="0"/>
                    <w:pageBreakBefore w:val="0"/>
                    <w:widowControl w:val="0"/>
                    <w:kinsoku/>
                    <w:wordWrap/>
                    <w:overflowPunct/>
                    <w:topLinePunct w:val="0"/>
                    <w:autoSpaceDE/>
                    <w:autoSpaceDN/>
                    <w:bidi w:val="0"/>
                    <w:adjustRightInd/>
                    <w:snapToGrid/>
                    <w:spacing w:line="260" w:lineRule="atLeast"/>
                    <w:ind w:left="0" w:firstLine="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400</w:t>
                  </w:r>
                </w:p>
              </w:tc>
              <w:tc>
                <w:tcPr>
                  <w:tcW w:w="897" w:type="pc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≥24D</w:t>
                  </w:r>
                </w:p>
              </w:tc>
              <w:tc>
                <w:tcPr>
                  <w:tcW w:w="1331" w:type="pct"/>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645" w:type="pct"/>
                  <w:vMerge w:val="continue"/>
                  <w:tcBorders>
                    <w:left w:val="single" w:color="auto" w:sz="4" w:space="0"/>
                    <w:righ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r>
            <w:tr>
              <w:tblPrEx>
                <w:tblCellMar>
                  <w:top w:w="0" w:type="dxa"/>
                  <w:left w:w="10" w:type="dxa"/>
                  <w:bottom w:w="0" w:type="dxa"/>
                  <w:right w:w="10" w:type="dxa"/>
                </w:tblCellMar>
              </w:tblPrEx>
              <w:trPr>
                <w:trHeight w:val="293" w:hRule="exact"/>
                <w:jc w:val="center"/>
              </w:trPr>
              <w:tc>
                <w:tcPr>
                  <w:tcW w:w="583" w:type="pct"/>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541" w:type="pct"/>
                  <w:tcBorders>
                    <w:top w:val="single" w:color="auto" w:sz="4" w:space="0"/>
                    <w:left w:val="single" w:color="auto" w:sz="4" w:space="0"/>
                  </w:tcBorders>
                  <w:shd w:val="clear" w:color="auto" w:fill="FFFFFF"/>
                  <w:vAlign w:val="center"/>
                </w:tcPr>
                <w:p>
                  <w:pPr>
                    <w:pStyle w:val="120"/>
                    <w:keepNext w:val="0"/>
                    <w:keepLines w:val="0"/>
                    <w:pageBreakBefore w:val="0"/>
                    <w:widowControl w:val="0"/>
                    <w:kinsoku/>
                    <w:wordWrap/>
                    <w:overflowPunct/>
                    <w:topLinePunct w:val="0"/>
                    <w:autoSpaceDE/>
                    <w:autoSpaceDN/>
                    <w:bidi w:val="0"/>
                    <w:adjustRightInd/>
                    <w:snapToGrid/>
                    <w:spacing w:line="260" w:lineRule="atLeast"/>
                    <w:ind w:left="0" w:firstLine="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450</w:t>
                  </w:r>
                </w:p>
              </w:tc>
              <w:tc>
                <w:tcPr>
                  <w:tcW w:w="897" w:type="pc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≥27D</w:t>
                  </w:r>
                </w:p>
              </w:tc>
              <w:tc>
                <w:tcPr>
                  <w:tcW w:w="1331" w:type="pct"/>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645" w:type="pct"/>
                  <w:vMerge w:val="continue"/>
                  <w:tcBorders>
                    <w:left w:val="single" w:color="auto" w:sz="4" w:space="0"/>
                    <w:righ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r>
            <w:tr>
              <w:trPr>
                <w:trHeight w:val="269" w:hRule="exact"/>
                <w:jc w:val="center"/>
              </w:trPr>
              <w:tc>
                <w:tcPr>
                  <w:tcW w:w="583" w:type="pct"/>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541" w:type="pct"/>
                  <w:tcBorders>
                    <w:top w:val="single" w:color="auto" w:sz="4" w:space="0"/>
                    <w:left w:val="single" w:color="auto" w:sz="4" w:space="0"/>
                  </w:tcBorders>
                  <w:shd w:val="clear" w:color="auto" w:fill="FFFFFF"/>
                  <w:vAlign w:val="center"/>
                </w:tcPr>
                <w:p>
                  <w:pPr>
                    <w:pStyle w:val="120"/>
                    <w:keepNext w:val="0"/>
                    <w:keepLines w:val="0"/>
                    <w:pageBreakBefore w:val="0"/>
                    <w:widowControl w:val="0"/>
                    <w:kinsoku/>
                    <w:wordWrap/>
                    <w:overflowPunct/>
                    <w:topLinePunct w:val="0"/>
                    <w:autoSpaceDE/>
                    <w:autoSpaceDN/>
                    <w:bidi w:val="0"/>
                    <w:adjustRightInd/>
                    <w:snapToGrid/>
                    <w:spacing w:line="260" w:lineRule="atLeast"/>
                    <w:ind w:left="0" w:firstLine="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500</w:t>
                  </w:r>
                </w:p>
              </w:tc>
              <w:tc>
                <w:tcPr>
                  <w:tcW w:w="897" w:type="pc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≥30D</w:t>
                  </w:r>
                </w:p>
              </w:tc>
              <w:tc>
                <w:tcPr>
                  <w:tcW w:w="1331" w:type="pct"/>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645" w:type="pct"/>
                  <w:vMerge w:val="continue"/>
                  <w:tcBorders>
                    <w:left w:val="single" w:color="auto" w:sz="4" w:space="0"/>
                    <w:righ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r>
            <w:tr>
              <w:tblPrEx>
                <w:tblCellMar>
                  <w:top w:w="0" w:type="dxa"/>
                  <w:left w:w="10" w:type="dxa"/>
                  <w:bottom w:w="0" w:type="dxa"/>
                  <w:right w:w="10" w:type="dxa"/>
                </w:tblCellMar>
              </w:tblPrEx>
              <w:trPr>
                <w:trHeight w:val="314" w:hRule="exact"/>
                <w:jc w:val="center"/>
              </w:trPr>
              <w:tc>
                <w:tcPr>
                  <w:tcW w:w="583" w:type="pct"/>
                  <w:vMerge w:val="continue"/>
                  <w:tcBorders>
                    <w:left w:val="single" w:color="auto" w:sz="4" w:space="0"/>
                    <w:bottom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541" w:type="pct"/>
                  <w:tcBorders>
                    <w:top w:val="single" w:color="auto" w:sz="4" w:space="0"/>
                    <w:left w:val="single" w:color="auto" w:sz="4" w:space="0"/>
                    <w:bottom w:val="single" w:color="auto" w:sz="4" w:space="0"/>
                  </w:tcBorders>
                  <w:shd w:val="clear" w:color="auto" w:fill="FFFFFF"/>
                  <w:vAlign w:val="center"/>
                </w:tcPr>
                <w:p>
                  <w:pPr>
                    <w:pStyle w:val="120"/>
                    <w:keepNext w:val="0"/>
                    <w:keepLines w:val="0"/>
                    <w:pageBreakBefore w:val="0"/>
                    <w:widowControl w:val="0"/>
                    <w:kinsoku/>
                    <w:wordWrap/>
                    <w:overflowPunct/>
                    <w:topLinePunct w:val="0"/>
                    <w:autoSpaceDE/>
                    <w:autoSpaceDN/>
                    <w:bidi w:val="0"/>
                    <w:adjustRightInd/>
                    <w:snapToGrid/>
                    <w:spacing w:line="260" w:lineRule="atLeast"/>
                    <w:ind w:left="0" w:firstLine="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≥600</w:t>
                  </w:r>
                </w:p>
              </w:tc>
              <w:tc>
                <w:tcPr>
                  <w:tcW w:w="897" w:type="pct"/>
                  <w:tcBorders>
                    <w:top w:val="single" w:color="auto" w:sz="4" w:space="0"/>
                    <w:left w:val="single" w:color="auto" w:sz="4" w:space="0"/>
                    <w:bottom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≥40D</w:t>
                  </w:r>
                </w:p>
              </w:tc>
              <w:tc>
                <w:tcPr>
                  <w:tcW w:w="1331" w:type="pct"/>
                  <w:vMerge w:val="continue"/>
                  <w:tcBorders>
                    <w:left w:val="single" w:color="auto" w:sz="4" w:space="0"/>
                    <w:bottom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645" w:type="pct"/>
                  <w:vMerge w:val="continue"/>
                  <w:tcBorders>
                    <w:left w:val="single" w:color="auto" w:sz="4" w:space="0"/>
                    <w:bottom w:val="single" w:color="auto" w:sz="4" w:space="0"/>
                    <w:righ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r>
          </w:tbl>
          <w:p>
            <w:pPr>
              <w:pStyle w:val="115"/>
              <w:keepNext w:val="0"/>
              <w:keepLines w:val="0"/>
              <w:pageBreakBefore w:val="0"/>
              <w:tabs>
                <w:tab w:val="left" w:pos="557"/>
              </w:tabs>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注：</w:t>
            </w:r>
            <w:r>
              <w:rPr>
                <w:rFonts w:hint="eastAsia" w:ascii="宋体" w:hAnsi="宋体" w:eastAsia="宋体" w:cs="宋体"/>
                <w:color w:val="auto"/>
                <w:sz w:val="21"/>
                <w:szCs w:val="21"/>
                <w:highlight w:val="none"/>
                <w:lang w:val="en-US" w:eastAsia="zh-CN" w:bidi="en-US"/>
              </w:rPr>
              <w:t>D</w:t>
            </w:r>
            <w:r>
              <w:rPr>
                <w:rFonts w:hint="eastAsia" w:ascii="宋体" w:hAnsi="宋体" w:eastAsia="宋体" w:cs="宋体"/>
                <w:color w:val="auto"/>
                <w:sz w:val="21"/>
                <w:szCs w:val="21"/>
                <w:highlight w:val="none"/>
              </w:rPr>
              <w:t>为管道外径</w:t>
            </w:r>
            <w:r>
              <w:rPr>
                <w:rFonts w:hint="eastAsia" w:ascii="宋体" w:hAnsi="宋体" w:eastAsia="宋体" w:cs="宋体"/>
                <w:i/>
                <w:iCs/>
                <w:color w:val="auto"/>
                <w:sz w:val="21"/>
                <w:szCs w:val="21"/>
                <w:highlight w:val="none"/>
                <w:lang w:val="en-US" w:eastAsia="zh-CN" w:bidi="en-US"/>
              </w:rPr>
              <w:t>，DN</w:t>
            </w:r>
            <w:r>
              <w:rPr>
                <w:rFonts w:hint="eastAsia" w:ascii="宋体" w:hAnsi="宋体" w:eastAsia="宋体" w:cs="宋体"/>
                <w:i/>
                <w:iCs/>
                <w:color w:val="auto"/>
                <w:sz w:val="21"/>
                <w:szCs w:val="21"/>
                <w:highlight w:val="none"/>
              </w:rPr>
              <w:t>为</w:t>
            </w:r>
            <w:r>
              <w:rPr>
                <w:rFonts w:hint="eastAsia" w:ascii="宋体" w:hAnsi="宋体" w:eastAsia="宋体" w:cs="宋体"/>
                <w:color w:val="auto"/>
                <w:sz w:val="21"/>
                <w:szCs w:val="21"/>
                <w:highlight w:val="none"/>
              </w:rPr>
              <w:t>公称直径</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 xml:space="preserve">4.2.3 </w:t>
            </w:r>
            <w:r>
              <w:rPr>
                <w:rFonts w:hint="eastAsia" w:ascii="宋体" w:hAnsi="宋体" w:eastAsia="宋体" w:cs="宋体"/>
                <w:color w:val="auto"/>
                <w:sz w:val="21"/>
                <w:szCs w:val="21"/>
                <w:highlight w:val="none"/>
              </w:rPr>
              <w:t>钢管如有划痕、凹坑、电弧烧痕、椭圆度超标、变形或压扁等缺陷时，应进行</w:t>
            </w:r>
            <w:r>
              <w:rPr>
                <w:rFonts w:hint="eastAsia" w:ascii="宋体" w:hAnsi="宋体" w:eastAsia="宋体" w:cs="宋体"/>
                <w:color w:val="auto"/>
                <w:sz w:val="21"/>
                <w:szCs w:val="21"/>
                <w:highlight w:val="none"/>
                <w:lang w:eastAsia="zh-CN"/>
              </w:rPr>
              <w:t>检查</w:t>
            </w:r>
            <w:r>
              <w:rPr>
                <w:rFonts w:hint="eastAsia" w:ascii="宋体" w:hAnsi="宋体" w:eastAsia="宋体" w:cs="宋体"/>
                <w:color w:val="auto"/>
                <w:sz w:val="21"/>
                <w:szCs w:val="21"/>
                <w:highlight w:val="none"/>
              </w:rPr>
              <w:t>、分类及处理，并应符合下列要求：</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钢管表面划痕的检查、分类及处理应符合下列要求：</w:t>
            </w:r>
          </w:p>
          <w:p>
            <w:pPr>
              <w:pStyle w:val="115"/>
              <w:keepNext w:val="0"/>
              <w:keepLines w:val="0"/>
              <w:pageBreakBefore w:val="0"/>
              <w:numPr>
                <w:ilvl w:val="0"/>
                <w:numId w:val="7"/>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钢管表面划痕深度小于或等于公称壁厚的5%</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且不影响最小公称壁厚的缺陷，可进行修磨处理；</w:t>
            </w:r>
          </w:p>
          <w:p>
            <w:pPr>
              <w:pStyle w:val="115"/>
              <w:keepNext w:val="0"/>
              <w:keepLines w:val="0"/>
              <w:pageBreakBefore w:val="0"/>
              <w:numPr>
                <w:ilvl w:val="0"/>
                <w:numId w:val="7"/>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表面划痕深度大于公称壁厚的5%</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且不影响到最小公称壁厚的缺陷，应进行修磨处理，修磨后应进行壁厚确认。对于修磨后钢管表面划痕深度影响到最小公称壁厚的缺陷，输油管道可选用焊接方式补焊修复，输气管道应将带有缺陷的管段切除。</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钢管表面凹坑的检查、分类及处理应符合下列要求：</w:t>
            </w:r>
          </w:p>
          <w:p>
            <w:pPr>
              <w:pStyle w:val="115"/>
              <w:keepNext w:val="0"/>
              <w:keepLines w:val="0"/>
              <w:pageBreakBefore w:val="0"/>
              <w:numPr>
                <w:ilvl w:val="0"/>
                <w:numId w:val="8"/>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凹坑处有尖点或凹坑位于焊缝处应将该处管段切除；</w:t>
            </w:r>
          </w:p>
          <w:p>
            <w:pPr>
              <w:pStyle w:val="115"/>
              <w:keepNext w:val="0"/>
              <w:keepLines w:val="0"/>
              <w:pageBreakBefore w:val="0"/>
              <w:numPr>
                <w:ilvl w:val="0"/>
                <w:numId w:val="8"/>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凹坑深度超过管道公称直径2%的管段应切除。</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管端椭圆度超标时</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应用适宜的方法及机具进行矫正。当环境气温为零度以下矫正时，宜对钢管进行局部加热至</w:t>
            </w:r>
            <w:r>
              <w:rPr>
                <w:rFonts w:hint="eastAsia" w:ascii="宋体" w:hAnsi="宋体" w:eastAsia="宋体" w:cs="宋体"/>
                <w:color w:val="auto"/>
                <w:sz w:val="21"/>
                <w:szCs w:val="21"/>
                <w:highlight w:val="none"/>
                <w:lang w:val="en-US" w:eastAsia="zh-CN" w:bidi="en-US"/>
              </w:rPr>
              <w:t>50℃</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bidi="en-US"/>
              </w:rPr>
              <w:t>100℃</w:t>
            </w:r>
            <w:r>
              <w:rPr>
                <w:rFonts w:hint="eastAsia" w:ascii="宋体" w:hAnsi="宋体" w:eastAsia="宋体" w:cs="宋体"/>
                <w:color w:val="auto"/>
                <w:sz w:val="21"/>
                <w:szCs w:val="21"/>
                <w:highlight w:val="none"/>
                <w:vertAlign w:val="subscript"/>
                <w:lang w:val="en-US" w:eastAsia="zh-CN" w:bidi="en-US"/>
              </w:rPr>
              <w:t>o</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钢管出现变形或压扁时不应使用。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《城镇燃气室内工程施工与质量验收规范》CJJ94-2009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3.2.4 对工程采用的材料、设备进场抽检不合格时，应按相关产品标准进行抽测。抽测的材料、设备再出现不合格时，判定该批材料、设备不合格，并严禁使用。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3.2.2.2</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材料设备的检查验收与装卸、运输、存放。</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建设单位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工程所用材料设备的装卸、运输及存放应符合不同产品的特性或产品说明书和相关标准的要求，确保其质量不被额外损伤。</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公用管道》GB/T38942-2020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6.3.1.1 管材、管件装卸时，不应抛摔、拖拽和剧烈撞击。存放时的堆放高度、环境条件（湿度、温度、光照等）应符合产品的要求，应避免暴晒和雨淋。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6.3.1.3 管材、管件应按产品储存要求分类储存，堆放整齐、稳固，便于管理。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6.3.1.4 管材、管件应平放在地面上，存放和堆置高度应保证管道不会发生损伤和永久变形，并应采取防止滚落的措施。每层防腐管之间应垫放软垫，最下层的管道下宜铺垫两排枕木或砂袋，支撑物应牢固，直管道等长物件应做连续支撑；管道距地面的距离宜大于200mm。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6.3.2.4 （阀门）外露阀杆的部位，应涂润滑脂进行保护。除塑料和橡胶密封面不准许涂防锈剂外，阀门的其他关闭件和阀座密封面应涂工业用防锈油脂。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6.3.2.5 阀门的内腔、法兰密封面和螺栓螺纹应涂防锈剂进行保护。阀门试验合格后，内部应清理干净，阀门两端应加防护盖，填写试验记录。</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6.3.6.1 焊材应在干燥通风的室内分类存放，室内温度应在5℃以上，相对湿度小于60%，防止受潮气、雨水、雪霜及油类等有害物质的侵蚀。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6.3.6.4 施工现场应建立焊接材料的保管、烘干、清洗、发放、使用和回收制度。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6.3.7.2 防腐补口材料应存放在通风干燥的库房。存放地点应远离火源，阴凉通风，避免雨淋和阳光直射。</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6.3.3.4 补偿器露天存放时，场地应坚实、平整，不得有积水、石块等，并应采用篷布覆盖。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8"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《聚乙烯燃气管道工程技术标准》CJJ63-2018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en-US"/>
              </w:rPr>
              <w:t>3.1.3</w:t>
            </w:r>
            <w:r>
              <w:rPr>
                <w:rFonts w:hint="eastAsia" w:ascii="宋体" w:hAnsi="宋体" w:eastAsia="宋体" w:cs="宋体"/>
                <w:color w:val="auto"/>
                <w:sz w:val="21"/>
                <w:szCs w:val="21"/>
                <w:highlight w:val="none"/>
              </w:rPr>
              <w:t>聚乙烯管材、管件和阀门不应长期户外存放。当从生产到使用期间，累计受到太阳能辐射量超过</w:t>
            </w:r>
            <w:r>
              <w:rPr>
                <w:rFonts w:hint="eastAsia" w:ascii="宋体" w:hAnsi="宋体" w:eastAsia="宋体" w:cs="宋体"/>
                <w:color w:val="auto"/>
                <w:sz w:val="21"/>
                <w:szCs w:val="21"/>
                <w:highlight w:val="none"/>
                <w:lang w:bidi="en-US"/>
              </w:rPr>
              <w:t>3.5GJ/m</w:t>
            </w:r>
            <w:r>
              <w:rPr>
                <w:rFonts w:hint="eastAsia" w:ascii="宋体" w:hAnsi="宋体" w:eastAsia="宋体" w:cs="宋体"/>
                <w:color w:val="auto"/>
                <w:sz w:val="21"/>
                <w:szCs w:val="21"/>
                <w:highlight w:val="none"/>
                <w:vertAlign w:val="superscript"/>
                <w:lang w:bidi="en-US"/>
              </w:rPr>
              <w:t>2</w:t>
            </w:r>
            <w:r>
              <w:rPr>
                <w:rFonts w:hint="eastAsia" w:ascii="宋体" w:hAnsi="宋体" w:eastAsia="宋体" w:cs="宋体"/>
                <w:color w:val="auto"/>
                <w:sz w:val="21"/>
                <w:szCs w:val="21"/>
                <w:highlight w:val="none"/>
              </w:rPr>
              <w:t>时，或按本标准第</w:t>
            </w:r>
            <w:r>
              <w:rPr>
                <w:rFonts w:hint="eastAsia" w:ascii="宋体" w:hAnsi="宋体" w:eastAsia="宋体" w:cs="宋体"/>
                <w:color w:val="auto"/>
                <w:sz w:val="21"/>
                <w:szCs w:val="21"/>
                <w:highlight w:val="none"/>
                <w:lang w:bidi="en-US"/>
              </w:rPr>
              <w:t>3.2.2</w:t>
            </w:r>
            <w:r>
              <w:rPr>
                <w:rFonts w:hint="eastAsia" w:ascii="宋体" w:hAnsi="宋体" w:eastAsia="宋体" w:cs="宋体"/>
                <w:color w:val="auto"/>
                <w:sz w:val="21"/>
                <w:szCs w:val="21"/>
                <w:highlight w:val="none"/>
              </w:rPr>
              <w:t>条规定存放，管材存放时间超过4年、密封包装的管件存放时间超过6年，应对其抽样检验，性能符合要求方可使用。</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3.2.1聚乙烯管材、管件和阀门的运输应符合下列规定：</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管材、管件和阀门搬运时，应小心轻放，不得抛、摔、滚、拖。当采用机械设备吊装管材时，应采用非金属绳（带）绑扎管材两端后吊装。</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管材运输时，应水平放置在带挡板的平底车上或平坦的船舱内，堆放处不得有损伤管材的尖凸物，应采用非金属绳</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带）捆扎、固定，管口应采取封堵保护措施。</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管件、阀门运输时，应按箱逐层码放整齐、固定牢靠。</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在运输过程中不应受到</w:t>
            </w:r>
            <w:r>
              <w:rPr>
                <w:rFonts w:hint="eastAsia" w:ascii="宋体" w:hAnsi="宋体" w:eastAsia="宋体" w:cs="宋体"/>
                <w:color w:val="auto"/>
                <w:sz w:val="21"/>
                <w:szCs w:val="21"/>
                <w:highlight w:val="none"/>
                <w:lang w:eastAsia="zh-CN"/>
              </w:rPr>
              <w:t>曝晒</w:t>
            </w:r>
            <w:r>
              <w:rPr>
                <w:rFonts w:hint="eastAsia" w:ascii="宋体" w:hAnsi="宋体" w:eastAsia="宋体" w:cs="宋体"/>
                <w:color w:val="auto"/>
                <w:sz w:val="21"/>
                <w:szCs w:val="21"/>
                <w:highlight w:val="none"/>
              </w:rPr>
              <w:t>、雨淋、油污及化学品污染。</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3.2.2</w:t>
            </w:r>
            <w:r>
              <w:rPr>
                <w:rFonts w:hint="eastAsia" w:ascii="宋体" w:hAnsi="宋体" w:eastAsia="宋体" w:cs="宋体"/>
                <w:color w:val="auto"/>
                <w:sz w:val="21"/>
                <w:szCs w:val="21"/>
                <w:highlight w:val="none"/>
              </w:rPr>
              <w:t>聚乙烯管材、管件和阀门的贮存应符合下列规定：</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管材、管件和阀门应按不同类型、规格和尺寸分别存放，并应遵照</w:t>
            </w:r>
            <w:r>
              <w:rPr>
                <w:rFonts w:hint="eastAsia" w:ascii="宋体" w:hAnsi="宋体" w:eastAsia="宋体" w:cs="宋体"/>
                <w:color w:val="auto"/>
                <w:sz w:val="21"/>
                <w:szCs w:val="21"/>
                <w:highlight w:val="none"/>
                <w:lang w:val="zh-CN" w:eastAsia="zh-CN" w:bidi="zh-CN"/>
              </w:rPr>
              <w:t>“先进</w:t>
            </w:r>
            <w:r>
              <w:rPr>
                <w:rFonts w:hint="eastAsia" w:ascii="宋体" w:hAnsi="宋体" w:eastAsia="宋体" w:cs="宋体"/>
                <w:color w:val="auto"/>
                <w:sz w:val="21"/>
                <w:szCs w:val="21"/>
                <w:highlight w:val="none"/>
              </w:rPr>
              <w:t>先出”原则。</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管材、管件和阀门应存放在仓库（存储型物流建筑）或半露天堆场（货棚）内。仓库（存储型物流建筑）或半露天堆场（货棚）的设计应符合现行国家标准《建筑设计防火规范》</w:t>
            </w:r>
            <w:r>
              <w:rPr>
                <w:rFonts w:hint="eastAsia" w:ascii="宋体" w:hAnsi="宋体" w:eastAsia="宋体" w:cs="宋体"/>
                <w:color w:val="auto"/>
                <w:sz w:val="21"/>
                <w:szCs w:val="21"/>
                <w:highlight w:val="none"/>
                <w:lang w:val="en-US" w:eastAsia="zh-CN" w:bidi="en-US"/>
              </w:rPr>
              <w:t>GB</w:t>
            </w:r>
            <w:r>
              <w:rPr>
                <w:rFonts w:hint="eastAsia" w:ascii="宋体" w:hAnsi="宋体" w:eastAsia="宋体" w:cs="宋体"/>
                <w:color w:val="auto"/>
                <w:sz w:val="21"/>
                <w:szCs w:val="21"/>
                <w:highlight w:val="none"/>
              </w:rPr>
              <w:t>50016和《物流建筑设计规范》</w:t>
            </w:r>
            <w:r>
              <w:rPr>
                <w:rFonts w:hint="eastAsia" w:ascii="宋体" w:hAnsi="宋体" w:eastAsia="宋体" w:cs="宋体"/>
                <w:color w:val="auto"/>
                <w:sz w:val="21"/>
                <w:szCs w:val="21"/>
                <w:highlight w:val="none"/>
                <w:lang w:val="en-US" w:eastAsia="zh-CN" w:bidi="en-US"/>
              </w:rPr>
              <w:t>GB</w:t>
            </w:r>
            <w:r>
              <w:rPr>
                <w:rFonts w:hint="eastAsia" w:ascii="宋体" w:hAnsi="宋体" w:eastAsia="宋体" w:cs="宋体"/>
                <w:color w:val="auto"/>
                <w:sz w:val="21"/>
                <w:szCs w:val="21"/>
                <w:highlight w:val="none"/>
              </w:rPr>
              <w:t>51157的有关规定。存放在半露天堆场（货棚）内的管材、管件和阀门不应受到暴晒、雨淋，应有防紫外线照射措施；仓库的门窗洞口应有防紫外线照射措施。</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管材、管件和阀门应远离热源，严禁与油类或化学品混合存放。</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管材应水平堆放在平整的支撑物或地面上，管口应采取封堵保护措施。当直管采用梯形堆放或两侧加支撑保护的矩形堆放时，堆放高度不宜超过1</w:t>
            </w:r>
            <w:r>
              <w:rPr>
                <w:rFonts w:hint="eastAsia" w:ascii="宋体" w:hAnsi="宋体" w:eastAsia="宋体" w:cs="宋体"/>
                <w:color w:val="auto"/>
                <w:sz w:val="21"/>
                <w:szCs w:val="21"/>
                <w:highlight w:val="none"/>
                <w:lang w:val="en-US" w:eastAsia="zh-CN" w:bidi="en-US"/>
              </w:rPr>
              <w:t>.5m；</w:t>
            </w:r>
            <w:r>
              <w:rPr>
                <w:rFonts w:hint="eastAsia" w:ascii="宋体" w:hAnsi="宋体" w:eastAsia="宋体" w:cs="宋体"/>
                <w:color w:val="auto"/>
                <w:sz w:val="21"/>
                <w:szCs w:val="21"/>
                <w:highlight w:val="none"/>
              </w:rPr>
              <w:t>当直管采用分层货架存放时</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每层货架高度不宜超过</w:t>
            </w:r>
            <w:r>
              <w:rPr>
                <w:rFonts w:hint="eastAsia" w:ascii="宋体" w:hAnsi="宋体" w:eastAsia="宋体" w:cs="宋体"/>
                <w:color w:val="auto"/>
                <w:sz w:val="21"/>
                <w:szCs w:val="21"/>
                <w:highlight w:val="none"/>
                <w:lang w:val="en-US" w:eastAsia="zh-CN" w:bidi="en-US"/>
              </w:rPr>
              <w:t>1m。</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管件和阀门应成箱存放在货架上或叠放在平整地面上</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当成箱</w:t>
            </w:r>
            <w:r>
              <w:rPr>
                <w:rFonts w:hint="eastAsia" w:ascii="宋体" w:hAnsi="宋体" w:eastAsia="宋体" w:cs="宋体"/>
                <w:color w:val="auto"/>
                <w:sz w:val="21"/>
                <w:szCs w:val="21"/>
                <w:highlight w:val="none"/>
                <w:lang w:eastAsia="zh-CN"/>
              </w:rPr>
              <w:t>叠</w:t>
            </w:r>
            <w:r>
              <w:rPr>
                <w:rFonts w:hint="eastAsia" w:ascii="宋体" w:hAnsi="宋体" w:eastAsia="宋体" w:cs="宋体"/>
                <w:color w:val="auto"/>
                <w:sz w:val="21"/>
                <w:szCs w:val="21"/>
                <w:highlight w:val="none"/>
              </w:rPr>
              <w:t>放时，高度不宜超过</w:t>
            </w:r>
            <w:r>
              <w:rPr>
                <w:rFonts w:hint="eastAsia" w:ascii="宋体" w:hAnsi="宋体" w:eastAsia="宋体" w:cs="宋体"/>
                <w:color w:val="auto"/>
                <w:sz w:val="21"/>
                <w:szCs w:val="21"/>
                <w:highlight w:val="none"/>
                <w:lang w:val="en-US" w:eastAsia="zh-CN" w:bidi="en-US"/>
              </w:rPr>
              <w:t>1.5m。</w:t>
            </w:r>
            <w:r>
              <w:rPr>
                <w:rFonts w:hint="eastAsia" w:ascii="宋体" w:hAnsi="宋体" w:eastAsia="宋体" w:cs="宋体"/>
                <w:color w:val="auto"/>
                <w:sz w:val="21"/>
                <w:szCs w:val="21"/>
                <w:highlight w:val="none"/>
              </w:rPr>
              <w:t>在使用前，不得拆除密封包装。</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 管材、管件和阀门在室外临时存放时，管材管口应采用保护端盖封堵，管件和阀门应存放在包装箱或储物箱内，并应采用遮盖物遮盖，防日晒、雨淋。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8"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《城镇燃气室内工程施工与质量验收规范》CJJ94-2009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w:t>
            </w:r>
            <w:r>
              <w:rPr>
                <w:rFonts w:hint="eastAsia" w:ascii="宋体" w:hAnsi="宋体" w:eastAsia="宋体" w:cs="宋体"/>
                <w:color w:val="auto"/>
                <w:sz w:val="21"/>
                <w:szCs w:val="21"/>
                <w:highlight w:val="none"/>
              </w:rPr>
              <mc:AlternateContent>
                <mc:Choice Requires="wps">
                  <w:drawing>
                    <wp:anchor distT="0" distB="0" distL="114300" distR="114300" simplePos="0" relativeHeight="251662336" behindDoc="0" locked="0" layoutInCell="1" allowOverlap="1">
                      <wp:simplePos x="0" y="0"/>
                      <wp:positionH relativeFrom="page">
                        <wp:posOffset>740410</wp:posOffset>
                      </wp:positionH>
                      <wp:positionV relativeFrom="page">
                        <wp:posOffset>6632575</wp:posOffset>
                      </wp:positionV>
                      <wp:extent cx="92710" cy="159385"/>
                      <wp:effectExtent l="0" t="0" r="0" b="0"/>
                      <wp:wrapNone/>
                      <wp:docPr id="1" name="文本框 1"/>
                      <wp:cNvGraphicFramePr/>
                      <a:graphic xmlns:a="http://schemas.openxmlformats.org/drawingml/2006/main">
                        <a:graphicData uri="http://schemas.microsoft.com/office/word/2010/wordprocessingShape">
                          <wps:wsp>
                            <wps:cNvSpPr txBox="1">
                              <a:spLocks noChangeArrowheads="1"/>
                            </wps:cNvSpPr>
                            <wps:spPr bwMode="auto">
                              <a:xfrm>
                                <a:off x="0" y="0"/>
                                <a:ext cx="92710" cy="159385"/>
                              </a:xfrm>
                              <a:prstGeom prst="rect">
                                <a:avLst/>
                              </a:prstGeom>
                              <a:noFill/>
                              <a:ln>
                                <a:noFill/>
                              </a:ln>
                            </wps:spPr>
                            <wps:txbx>
                              <w:txbxContent>
                                <w:p>
                                  <w:pPr>
                                    <w:spacing w:line="120" w:lineRule="auto"/>
                                    <w:ind w:left="20"/>
                                    <w:jc w:val="left"/>
                                  </w:pPr>
                                  <w:r>
                                    <w:t>6</w:t>
                                  </w:r>
                                </w:p>
                              </w:txbxContent>
                            </wps:txbx>
                            <wps:bodyPr rot="0" vert="eaVert" wrap="square" lIns="0" tIns="0" rIns="0" bIns="0" anchor="t" anchorCtr="0" upright="1">
                              <a:noAutofit/>
                            </wps:bodyPr>
                          </wps:wsp>
                        </a:graphicData>
                      </a:graphic>
                    </wp:anchor>
                  </w:drawing>
                </mc:Choice>
                <mc:Fallback>
                  <w:pict>
                    <v:shape id="_x0000_s1026" o:spid="_x0000_s1026" o:spt="202" type="#_x0000_t202" style="position:absolute;left:0pt;margin-left:58.3pt;margin-top:522.25pt;height:12.55pt;width:7.3pt;mso-position-horizontal-relative:page;mso-position-vertical-relative:page;z-index:251662336;mso-width-relative:page;mso-height-relative:page;" filled="f" stroked="f" coordsize="21600,21600" o:gfxdata="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KIUlMNgAAAANAQAADwAAAAAAAAABACAAAAAi&#10;AAAAZHJzL2Rvd25yZXYueG1sUEsBAhQAFAAAAAgAh07iQA41GLgKAgAABQQAAA4AAAAAAAAAAQAg&#10;AAAAJwEAAGRycy9lMm9Eb2MueG1sUEsFBgAAAAAGAAYAWQEAAKMFAAAAAA==&#10;">
                      <v:fill on="f" focussize="0,0"/>
                      <v:stroke on="f"/>
                      <v:imagedata o:title=""/>
                      <o:lock v:ext="edit" aspectratio="f"/>
                      <v:textbox inset="0mm,0mm,0mm,0mm" style="layout-flow:vertical-ideographic;">
                        <w:txbxContent>
                          <w:p>
                            <w:pPr>
                              <w:spacing w:line="120" w:lineRule="auto"/>
                              <w:ind w:left="20"/>
                              <w:jc w:val="left"/>
                            </w:pPr>
                            <w:r>
                              <w:t>6</w:t>
                            </w:r>
                          </w:p>
                        </w:txbxContent>
                      </v:textbox>
                    </v:shape>
                  </w:pict>
                </mc:Fallback>
              </mc:AlternateContent>
            </w:r>
            <w:r>
              <w:rPr>
                <w:rFonts w:hint="eastAsia" w:ascii="宋体" w:hAnsi="宋体" w:eastAsia="宋体" w:cs="宋体"/>
                <w:color w:val="auto"/>
                <w:sz w:val="21"/>
                <w:szCs w:val="21"/>
                <w:highlight w:val="none"/>
              </w:rPr>
              <w:t>5 管道组成件和设备的运输及存放应符合下列规定：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管道组成件和设备在运输、装卸和搬动时，应避免被污染，不得抛、摔、滚、拖等；</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管道组成件和设备严禁与油品、腐蚀性物品或有毒物品混合堆放；</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铝塑复合管、覆塑的铜管、覆塑的不锈钢波纹软管及其管件应存放在通风良好的库房或棚内，不得露天存放，应远离热源且防止阳光直射；</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管子及设备应水平堆放，堆置高度不宜超过2.0m。管件应原箱码堆，堆高不宜超过3层。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3.2.3</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b/>
                <w:bCs/>
                <w:color w:val="auto"/>
                <w:spacing w:val="-6"/>
                <w:kern w:val="0"/>
                <w:sz w:val="21"/>
                <w:szCs w:val="21"/>
                <w:highlight w:val="none"/>
              </w:rPr>
            </w:pPr>
            <w:r>
              <w:rPr>
                <w:rFonts w:hint="eastAsia" w:ascii="宋体" w:hAnsi="宋体" w:eastAsia="宋体" w:cs="宋体"/>
                <w:b/>
                <w:bCs/>
                <w:color w:val="auto"/>
                <w:sz w:val="21"/>
                <w:szCs w:val="21"/>
                <w:highlight w:val="none"/>
              </w:rPr>
              <w:t>埋地管道敷设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3.2.3.1</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埋地管道敷设</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建设单位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设计单位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管道与相邻设施净距和埋深应符合设计及有关标准要求。当达不到要求时，应采取有效的保护措施。</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说明：虽然管道与相邻设施的净距等要求在标准中有明确规定，但因设计阶段所依据的基础性信息与工地现场实际情况可能不完全一致，通常需要建设单位、设计单位、施工单位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监理单位在现场施工中加以密切留意和动态控制，当发现净距等不足时，需要通过建设单位请设计单位出设计变更等措施及时调整，以保证净距等满足相关标准要求，消除质量安全隐患。</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《燃气工程项目规范》GB55009-2021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en-US"/>
              </w:rPr>
              <w:t xml:space="preserve">5.1.14 </w:t>
            </w:r>
            <w:r>
              <w:rPr>
                <w:rFonts w:hint="eastAsia" w:ascii="宋体" w:hAnsi="宋体" w:eastAsia="宋体" w:cs="宋体"/>
                <w:color w:val="auto"/>
                <w:sz w:val="21"/>
                <w:szCs w:val="21"/>
                <w:highlight w:val="none"/>
                <w:lang w:bidi="zh-TW"/>
              </w:rPr>
              <w:t>埋地输配管道应根据冻土层、路面荷载等条件确定其埋设深度。车行道下输配管道的</w:t>
            </w:r>
            <w:r>
              <w:rPr>
                <w:rFonts w:hint="eastAsia" w:ascii="宋体" w:hAnsi="宋体" w:eastAsia="宋体" w:cs="宋体"/>
                <w:color w:val="auto"/>
                <w:sz w:val="21"/>
                <w:szCs w:val="21"/>
                <w:highlight w:val="none"/>
                <w:lang w:eastAsia="zh-CN" w:bidi="zh-TW"/>
              </w:rPr>
              <w:t>最小值</w:t>
            </w:r>
            <w:r>
              <w:rPr>
                <w:rFonts w:hint="eastAsia" w:ascii="宋体" w:hAnsi="宋体" w:eastAsia="宋体" w:cs="宋体"/>
                <w:color w:val="auto"/>
                <w:sz w:val="21"/>
                <w:szCs w:val="21"/>
                <w:highlight w:val="none"/>
                <w:lang w:bidi="zh-TW"/>
              </w:rPr>
              <w:t>埋深度不应小于</w:t>
            </w:r>
            <w:r>
              <w:rPr>
                <w:rFonts w:hint="eastAsia" w:ascii="宋体" w:hAnsi="宋体" w:eastAsia="宋体" w:cs="宋体"/>
                <w:color w:val="auto"/>
                <w:sz w:val="21"/>
                <w:szCs w:val="21"/>
                <w:highlight w:val="none"/>
              </w:rPr>
              <w:t>0.</w:t>
            </w:r>
            <w:r>
              <w:rPr>
                <w:rFonts w:hint="eastAsia" w:ascii="宋体" w:hAnsi="宋体" w:eastAsia="宋体" w:cs="宋体"/>
                <w:color w:val="auto"/>
                <w:sz w:val="21"/>
                <w:szCs w:val="21"/>
                <w:highlight w:val="none"/>
                <w:lang w:bidi="en-US"/>
              </w:rPr>
              <w:t>9m，</w:t>
            </w:r>
            <w:r>
              <w:rPr>
                <w:rFonts w:hint="eastAsia" w:ascii="宋体" w:hAnsi="宋体" w:eastAsia="宋体" w:cs="宋体"/>
                <w:color w:val="auto"/>
                <w:sz w:val="21"/>
                <w:szCs w:val="21"/>
                <w:highlight w:val="none"/>
                <w:lang w:bidi="zh-TW"/>
              </w:rPr>
              <w:t>人行道及田地下输配管道的</w:t>
            </w:r>
            <w:r>
              <w:rPr>
                <w:rFonts w:hint="eastAsia" w:ascii="宋体" w:hAnsi="宋体" w:eastAsia="宋体" w:cs="宋体"/>
                <w:color w:val="auto"/>
                <w:sz w:val="21"/>
                <w:szCs w:val="21"/>
                <w:highlight w:val="none"/>
                <w:lang w:eastAsia="zh-CN" w:bidi="zh-TW"/>
              </w:rPr>
              <w:t>最小</w:t>
            </w:r>
            <w:r>
              <w:rPr>
                <w:rFonts w:hint="eastAsia" w:ascii="宋体" w:hAnsi="宋体" w:eastAsia="宋体" w:cs="宋体"/>
                <w:color w:val="auto"/>
                <w:sz w:val="21"/>
                <w:szCs w:val="21"/>
                <w:highlight w:val="none"/>
                <w:lang w:val="en-US" w:eastAsia="zh-CN" w:bidi="zh-TW"/>
              </w:rPr>
              <w:t>直</w:t>
            </w:r>
            <w:r>
              <w:rPr>
                <w:rFonts w:hint="eastAsia" w:ascii="宋体" w:hAnsi="宋体" w:eastAsia="宋体" w:cs="宋体"/>
                <w:color w:val="auto"/>
                <w:sz w:val="21"/>
                <w:szCs w:val="21"/>
                <w:highlight w:val="none"/>
                <w:lang w:bidi="zh-TW"/>
              </w:rPr>
              <w:t>埋深度不应小于</w:t>
            </w:r>
            <w:r>
              <w:rPr>
                <w:rFonts w:hint="eastAsia" w:ascii="宋体" w:hAnsi="宋体" w:eastAsia="宋体" w:cs="宋体"/>
                <w:color w:val="auto"/>
                <w:sz w:val="21"/>
                <w:szCs w:val="21"/>
                <w:highlight w:val="none"/>
                <w:lang w:bidi="en-US"/>
              </w:rPr>
              <w:t>0.6m。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《城镇燃气设计规范》GB50028-2006（2020版）</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w:t>
            </w:r>
            <w:r>
              <w:rPr>
                <w:rFonts w:hint="eastAsia" w:ascii="宋体" w:hAnsi="宋体" w:eastAsia="宋体" w:cs="宋体"/>
                <w:color w:val="auto"/>
                <w:kern w:val="0"/>
                <w:sz w:val="21"/>
                <w:szCs w:val="21"/>
                <w:highlight w:val="none"/>
                <w:u w:val="single"/>
                <w:lang w:bidi="ar"/>
              </w:rPr>
              <w:t>压力不大于1.6MPa的室外燃气管道：</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6.3.3 地下燃气管道不得从建筑物和大型构筑物</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不包括架空的建筑物和大型构筑物</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 xml:space="preserve">的下面穿越。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地下燃气管道与建筑物、构筑物或相邻管道之间的水平和垂直净距，不应小于</w:t>
            </w:r>
            <w:r>
              <w:rPr>
                <w:rFonts w:hint="eastAsia" w:ascii="宋体" w:hAnsi="宋体" w:eastAsia="宋体" w:cs="宋体"/>
                <w:color w:val="auto"/>
                <w:kern w:val="0"/>
                <w:sz w:val="21"/>
                <w:szCs w:val="21"/>
                <w:highlight w:val="none"/>
                <w:lang w:eastAsia="zh-CN" w:bidi="ar"/>
              </w:rPr>
              <w:t>表</w:t>
            </w:r>
            <w:r>
              <w:rPr>
                <w:rFonts w:hint="eastAsia" w:ascii="宋体" w:hAnsi="宋体" w:eastAsia="宋体" w:cs="宋体"/>
                <w:color w:val="auto"/>
                <w:kern w:val="0"/>
                <w:sz w:val="21"/>
                <w:szCs w:val="21"/>
                <w:highlight w:val="none"/>
                <w:lang w:bidi="ar"/>
              </w:rPr>
              <w:t>6.3.3-1和</w:t>
            </w:r>
            <w:r>
              <w:rPr>
                <w:rFonts w:hint="eastAsia" w:ascii="宋体" w:hAnsi="宋体" w:eastAsia="宋体" w:cs="宋体"/>
                <w:color w:val="auto"/>
                <w:kern w:val="0"/>
                <w:sz w:val="21"/>
                <w:szCs w:val="21"/>
                <w:highlight w:val="none"/>
                <w:lang w:eastAsia="zh-CN" w:bidi="ar"/>
              </w:rPr>
              <w:t>表</w:t>
            </w:r>
            <w:r>
              <w:rPr>
                <w:rFonts w:hint="eastAsia" w:ascii="宋体" w:hAnsi="宋体" w:eastAsia="宋体" w:cs="宋体"/>
                <w:color w:val="auto"/>
                <w:kern w:val="0"/>
                <w:sz w:val="21"/>
                <w:szCs w:val="21"/>
                <w:highlight w:val="none"/>
                <w:lang w:bidi="ar"/>
              </w:rPr>
              <w:t>6.3.3-2</w:t>
            </w:r>
            <w:r>
              <w:rPr>
                <w:rFonts w:hint="eastAsia" w:ascii="宋体" w:hAnsi="宋体" w:eastAsia="宋体" w:cs="宋体"/>
                <w:color w:val="auto"/>
                <w:kern w:val="0"/>
                <w:sz w:val="21"/>
                <w:szCs w:val="21"/>
                <w:highlight w:val="none"/>
                <w:lang w:eastAsia="zh-CN" w:bidi="ar"/>
              </w:rPr>
              <w:t>的</w:t>
            </w:r>
            <w:r>
              <w:rPr>
                <w:rFonts w:hint="eastAsia" w:ascii="宋体" w:hAnsi="宋体" w:eastAsia="宋体" w:cs="宋体"/>
                <w:color w:val="auto"/>
                <w:kern w:val="0"/>
                <w:sz w:val="21"/>
                <w:szCs w:val="21"/>
                <w:highlight w:val="none"/>
                <w:lang w:bidi="ar"/>
              </w:rPr>
              <w:t>规定。</w:t>
            </w:r>
          </w:p>
          <w:p>
            <w:pPr>
              <w:keepNext w:val="0"/>
              <w:keepLines w:val="0"/>
              <w:pageBreakBefore w:val="0"/>
              <w:kinsoku/>
              <w:wordWrap/>
              <w:overflowPunct/>
              <w:topLinePunct w:val="0"/>
              <w:autoSpaceDE/>
              <w:autoSpaceDN/>
              <w:bidi w:val="0"/>
              <w:spacing w:line="260" w:lineRule="atLeast"/>
              <w:ind w:left="0" w:firstLine="305"/>
              <w:jc w:val="center"/>
              <w:rPr>
                <w:rFonts w:hint="eastAsia" w:ascii="宋体" w:hAnsi="宋体" w:eastAsia="宋体" w:cs="宋体"/>
                <w:color w:val="auto"/>
                <w:spacing w:val="-1"/>
                <w:sz w:val="21"/>
                <w:szCs w:val="21"/>
                <w:highlight w:val="none"/>
                <w:lang w:eastAsia="zh-CN"/>
              </w:rPr>
            </w:pPr>
            <w:r>
              <w:rPr>
                <w:rFonts w:hint="eastAsia" w:ascii="宋体" w:hAnsi="宋体" w:eastAsia="宋体" w:cs="宋体"/>
                <w:color w:val="auto"/>
                <w:spacing w:val="-1"/>
                <w:sz w:val="21"/>
                <w:szCs w:val="21"/>
                <w:highlight w:val="none"/>
              </w:rPr>
              <w:t>表6.3.3-1</w:t>
            </w:r>
            <w:r>
              <w:rPr>
                <w:rFonts w:hint="eastAsia" w:ascii="宋体" w:hAnsi="宋体" w:eastAsia="宋体" w:cs="宋体"/>
                <w:color w:val="auto"/>
                <w:spacing w:val="-1"/>
                <w:sz w:val="21"/>
                <w:szCs w:val="21"/>
                <w:highlight w:val="none"/>
                <w:lang w:val="en-US" w:eastAsia="zh-CN"/>
              </w:rPr>
              <w:t xml:space="preserve"> </w:t>
            </w:r>
            <w:r>
              <w:rPr>
                <w:rFonts w:hint="eastAsia" w:ascii="宋体" w:hAnsi="宋体" w:eastAsia="宋体" w:cs="宋体"/>
                <w:color w:val="auto"/>
                <w:spacing w:val="-1"/>
                <w:sz w:val="21"/>
                <w:szCs w:val="21"/>
                <w:highlight w:val="none"/>
              </w:rPr>
              <w:t>地下燃气管道与建筑物、构筑物或相邻管道之间的水平净距</w:t>
            </w:r>
            <w:r>
              <w:rPr>
                <w:rFonts w:hint="eastAsia" w:ascii="宋体" w:hAnsi="宋体" w:eastAsia="宋体" w:cs="宋体"/>
                <w:color w:val="auto"/>
                <w:spacing w:val="-1"/>
                <w:sz w:val="21"/>
                <w:szCs w:val="21"/>
                <w:highlight w:val="none"/>
                <w:lang w:eastAsia="zh-CN"/>
              </w:rPr>
              <w:t>（</w:t>
            </w:r>
            <w:r>
              <w:rPr>
                <w:rFonts w:hint="eastAsia" w:ascii="宋体" w:hAnsi="宋体" w:eastAsia="宋体" w:cs="宋体"/>
                <w:color w:val="auto"/>
                <w:spacing w:val="-1"/>
                <w:sz w:val="21"/>
                <w:szCs w:val="21"/>
                <w:highlight w:val="none"/>
              </w:rPr>
              <w:t>m</w:t>
            </w:r>
            <w:r>
              <w:rPr>
                <w:rFonts w:hint="eastAsia" w:ascii="宋体" w:hAnsi="宋体" w:eastAsia="宋体" w:cs="宋体"/>
                <w:color w:val="auto"/>
                <w:spacing w:val="-1"/>
                <w:sz w:val="21"/>
                <w:szCs w:val="21"/>
                <w:highlight w:val="none"/>
                <w:lang w:eastAsia="zh-CN"/>
              </w:rPr>
              <w:t>）</w:t>
            </w:r>
          </w:p>
          <w:tbl>
            <w:tblPr>
              <w:tblStyle w:val="121"/>
              <w:tblW w:w="4999"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2056"/>
              <w:gridCol w:w="2639"/>
              <w:gridCol w:w="1161"/>
              <w:gridCol w:w="1161"/>
              <w:gridCol w:w="1181"/>
              <w:gridCol w:w="1181"/>
              <w:gridCol w:w="145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jc w:val="center"/>
              </w:trPr>
              <w:tc>
                <w:tcPr>
                  <w:tcW w:w="2167" w:type="pct"/>
                  <w:gridSpan w:val="2"/>
                  <w:vMerge w:val="restart"/>
                  <w:tcBorders>
                    <w:top w:val="single" w:color="000000" w:sz="2" w:space="0"/>
                    <w:bottom w:val="nil"/>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项</w:t>
                  </w:r>
                  <w:r>
                    <w:rPr>
                      <w:rFonts w:hint="eastAsia" w:ascii="宋体" w:hAnsi="宋体" w:eastAsia="宋体" w:cs="宋体"/>
                      <w:color w:val="auto"/>
                      <w:spacing w:val="9"/>
                      <w:sz w:val="21"/>
                      <w:szCs w:val="21"/>
                      <w:highlight w:val="none"/>
                    </w:rPr>
                    <w:t xml:space="preserve">    </w:t>
                  </w:r>
                  <w:r>
                    <w:rPr>
                      <w:rFonts w:hint="eastAsia" w:ascii="宋体" w:hAnsi="宋体" w:eastAsia="宋体" w:cs="宋体"/>
                      <w:color w:val="auto"/>
                      <w:spacing w:val="-5"/>
                      <w:sz w:val="21"/>
                      <w:szCs w:val="21"/>
                      <w:highlight w:val="none"/>
                    </w:rPr>
                    <w:t>目</w:t>
                  </w:r>
                </w:p>
              </w:tc>
              <w:tc>
                <w:tcPr>
                  <w:tcW w:w="2832" w:type="pct"/>
                  <w:gridSpan w:val="5"/>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pacing w:val="2"/>
                      <w:sz w:val="21"/>
                      <w:szCs w:val="21"/>
                      <w:highlight w:val="none"/>
                    </w:rPr>
                    <w:t>地下燃气管道压力</w:t>
                  </w:r>
                  <w:r>
                    <w:rPr>
                      <w:rFonts w:hint="eastAsia" w:ascii="宋体" w:hAnsi="宋体" w:eastAsia="宋体" w:cs="宋体"/>
                      <w:color w:val="auto"/>
                      <w:spacing w:val="2"/>
                      <w:sz w:val="21"/>
                      <w:szCs w:val="21"/>
                      <w:highlight w:val="none"/>
                      <w:lang w:eastAsia="zh-CN"/>
                    </w:rPr>
                    <w:t>（</w:t>
                  </w:r>
                  <w:r>
                    <w:rPr>
                      <w:rFonts w:hint="eastAsia" w:ascii="宋体" w:hAnsi="宋体" w:eastAsia="宋体" w:cs="宋体"/>
                      <w:color w:val="auto"/>
                      <w:spacing w:val="2"/>
                      <w:sz w:val="21"/>
                      <w:szCs w:val="21"/>
                      <w:highlight w:val="none"/>
                    </w:rPr>
                    <w:t>MPa</w:t>
                  </w:r>
                  <w:r>
                    <w:rPr>
                      <w:rFonts w:hint="eastAsia" w:ascii="宋体" w:hAnsi="宋体" w:eastAsia="宋体" w:cs="宋体"/>
                      <w:color w:val="auto"/>
                      <w:spacing w:val="2"/>
                      <w:sz w:val="21"/>
                      <w:szCs w:val="21"/>
                      <w:highlight w:val="none"/>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4" w:hRule="atLeast"/>
                <w:jc w:val="center"/>
              </w:trPr>
              <w:tc>
                <w:tcPr>
                  <w:tcW w:w="2167" w:type="pct"/>
                  <w:gridSpan w:val="2"/>
                  <w:vMerge w:val="continue"/>
                  <w:tcBorders>
                    <w:top w:val="nil"/>
                    <w:bottom w:val="nil"/>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p>
              </w:tc>
              <w:tc>
                <w:tcPr>
                  <w:tcW w:w="536" w:type="pct"/>
                  <w:vMerge w:val="restart"/>
                  <w:tcBorders>
                    <w:top w:val="single" w:color="000000" w:sz="2" w:space="0"/>
                    <w:bottom w:val="nil"/>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position w:val="3"/>
                      <w:sz w:val="21"/>
                      <w:szCs w:val="21"/>
                      <w:highlight w:val="none"/>
                    </w:rPr>
                    <w:t>低压</w:t>
                  </w:r>
                </w:p>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&lt;0.01</w:t>
                  </w:r>
                </w:p>
              </w:tc>
              <w:tc>
                <w:tcPr>
                  <w:tcW w:w="1081"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中压</w:t>
                  </w:r>
                </w:p>
              </w:tc>
              <w:tc>
                <w:tcPr>
                  <w:tcW w:w="1213"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次高压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jc w:val="center"/>
              </w:trPr>
              <w:tc>
                <w:tcPr>
                  <w:tcW w:w="2167" w:type="pct"/>
                  <w:gridSpan w:val="2"/>
                  <w:vMerge w:val="continue"/>
                  <w:tcBorders>
                    <w:top w:val="nil"/>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p>
              </w:tc>
              <w:tc>
                <w:tcPr>
                  <w:tcW w:w="536" w:type="pct"/>
                  <w:vMerge w:val="continue"/>
                  <w:tcBorders>
                    <w:top w:val="nil"/>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B</w:t>
                  </w:r>
                </w:p>
                <w:p>
                  <w:pPr>
                    <w:keepNext w:val="0"/>
                    <w:keepLines w:val="0"/>
                    <w:pageBreakBefore w:val="0"/>
                    <w:tabs>
                      <w:tab w:val="center" w:pos="309"/>
                    </w:tabs>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≤0.2</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A</w:t>
                  </w:r>
                </w:p>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≤0.4</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B</w:t>
                  </w:r>
                </w:p>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0.8</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A</w:t>
                  </w:r>
                </w:p>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5" w:hRule="atLeast"/>
                <w:jc w:val="center"/>
              </w:trPr>
              <w:tc>
                <w:tcPr>
                  <w:tcW w:w="949" w:type="pct"/>
                  <w:vMerge w:val="restart"/>
                  <w:tcBorders>
                    <w:top w:val="single" w:color="000000" w:sz="2" w:space="0"/>
                    <w:bottom w:val="nil"/>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建筑物</w:t>
                  </w:r>
                </w:p>
              </w:tc>
              <w:tc>
                <w:tcPr>
                  <w:tcW w:w="1217"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基础</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0.7</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1.5</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4" w:hRule="atLeast"/>
                <w:jc w:val="center"/>
              </w:trPr>
              <w:tc>
                <w:tcPr>
                  <w:tcW w:w="949" w:type="pct"/>
                  <w:vMerge w:val="continue"/>
                  <w:tcBorders>
                    <w:top w:val="nil"/>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p>
              </w:tc>
              <w:tc>
                <w:tcPr>
                  <w:tcW w:w="1217"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外墙面</w:t>
                  </w:r>
                  <w:r>
                    <w:rPr>
                      <w:rFonts w:hint="eastAsia" w:ascii="宋体" w:hAnsi="宋体" w:eastAsia="宋体" w:cs="宋体"/>
                      <w:color w:val="auto"/>
                      <w:spacing w:val="3"/>
                      <w:sz w:val="21"/>
                      <w:szCs w:val="21"/>
                      <w:highlight w:val="none"/>
                      <w:lang w:eastAsia="zh-CN"/>
                    </w:rPr>
                    <w:t>（</w:t>
                  </w:r>
                  <w:r>
                    <w:rPr>
                      <w:rFonts w:hint="eastAsia" w:ascii="宋体" w:hAnsi="宋体" w:eastAsia="宋体" w:cs="宋体"/>
                      <w:color w:val="auto"/>
                      <w:spacing w:val="3"/>
                      <w:sz w:val="21"/>
                      <w:szCs w:val="21"/>
                      <w:highlight w:val="none"/>
                    </w:rPr>
                    <w:t>出地面处</w:t>
                  </w:r>
                  <w:r>
                    <w:rPr>
                      <w:rFonts w:hint="eastAsia" w:ascii="宋体" w:hAnsi="宋体" w:eastAsia="宋体" w:cs="宋体"/>
                      <w:color w:val="auto"/>
                      <w:spacing w:val="3"/>
                      <w:sz w:val="21"/>
                      <w:szCs w:val="21"/>
                      <w:highlight w:val="none"/>
                      <w:lang w:eastAsia="zh-CN"/>
                    </w:rPr>
                    <w:t>）</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5.0</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4"/>
                      <w:sz w:val="21"/>
                      <w:szCs w:val="21"/>
                      <w:highlight w:val="none"/>
                    </w:rPr>
                    <w:t>13.5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5" w:hRule="atLeast"/>
                <w:jc w:val="center"/>
              </w:trPr>
              <w:tc>
                <w:tcPr>
                  <w:tcW w:w="2167"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给水管</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0.5</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0.5</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0.5</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5" w:hRule="atLeast"/>
                <w:jc w:val="center"/>
              </w:trPr>
              <w:tc>
                <w:tcPr>
                  <w:tcW w:w="2167"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1"/>
                      <w:sz w:val="21"/>
                      <w:szCs w:val="21"/>
                      <w:highlight w:val="none"/>
                    </w:rPr>
                    <w:t>污水、雨水排水管</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1.2</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4"/>
                      <w:sz w:val="21"/>
                      <w:szCs w:val="21"/>
                      <w:highlight w:val="none"/>
                    </w:rPr>
                    <w:t>l.2</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1.5</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6" w:hRule="atLeast"/>
                <w:jc w:val="center"/>
              </w:trPr>
              <w:tc>
                <w:tcPr>
                  <w:tcW w:w="949" w:type="pct"/>
                  <w:vMerge w:val="restart"/>
                  <w:tcBorders>
                    <w:top w:val="single" w:color="000000" w:sz="2" w:space="0"/>
                    <w:bottom w:val="nil"/>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pacing w:val="1"/>
                      <w:sz w:val="21"/>
                      <w:szCs w:val="21"/>
                      <w:highlight w:val="none"/>
                    </w:rPr>
                  </w:pPr>
                  <w:r>
                    <w:rPr>
                      <w:rFonts w:hint="eastAsia" w:ascii="宋体" w:hAnsi="宋体" w:eastAsia="宋体" w:cs="宋体"/>
                      <w:color w:val="auto"/>
                      <w:spacing w:val="1"/>
                      <w:sz w:val="21"/>
                      <w:szCs w:val="21"/>
                      <w:highlight w:val="none"/>
                    </w:rPr>
                    <w:t>电力电缆</w:t>
                  </w:r>
                </w:p>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1"/>
                      <w:sz w:val="21"/>
                      <w:szCs w:val="21"/>
                      <w:highlight w:val="none"/>
                      <w:lang w:eastAsia="zh-CN"/>
                    </w:rPr>
                    <w:t>（</w:t>
                  </w:r>
                  <w:r>
                    <w:rPr>
                      <w:rFonts w:hint="eastAsia" w:ascii="宋体" w:hAnsi="宋体" w:eastAsia="宋体" w:cs="宋体"/>
                      <w:color w:val="auto"/>
                      <w:spacing w:val="5"/>
                      <w:sz w:val="21"/>
                      <w:szCs w:val="21"/>
                      <w:highlight w:val="none"/>
                    </w:rPr>
                    <w:t>含电车电缆</w:t>
                  </w:r>
                  <w:r>
                    <w:rPr>
                      <w:rFonts w:hint="eastAsia" w:ascii="宋体" w:hAnsi="宋体" w:eastAsia="宋体" w:cs="宋体"/>
                      <w:color w:val="auto"/>
                      <w:spacing w:val="5"/>
                      <w:sz w:val="21"/>
                      <w:szCs w:val="21"/>
                      <w:highlight w:val="none"/>
                      <w:lang w:eastAsia="zh-CN"/>
                    </w:rPr>
                    <w:t>）</w:t>
                  </w:r>
                </w:p>
              </w:tc>
              <w:tc>
                <w:tcPr>
                  <w:tcW w:w="1217"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直埋</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0.5</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0.5</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0.5</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4" w:hRule="atLeast"/>
                <w:jc w:val="center"/>
              </w:trPr>
              <w:tc>
                <w:tcPr>
                  <w:tcW w:w="949" w:type="pct"/>
                  <w:vMerge w:val="continue"/>
                  <w:tcBorders>
                    <w:top w:val="nil"/>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p>
              </w:tc>
              <w:tc>
                <w:tcPr>
                  <w:tcW w:w="1217"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在导管内</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5" w:hRule="atLeast"/>
                <w:jc w:val="center"/>
              </w:trPr>
              <w:tc>
                <w:tcPr>
                  <w:tcW w:w="949" w:type="pct"/>
                  <w:vMerge w:val="restart"/>
                  <w:tcBorders>
                    <w:top w:val="single" w:color="000000" w:sz="2" w:space="0"/>
                    <w:bottom w:val="nil"/>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通信电缆</w:t>
                  </w:r>
                </w:p>
              </w:tc>
              <w:tc>
                <w:tcPr>
                  <w:tcW w:w="1217"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直埋</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0.5</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0.5</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0.5</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4"/>
                      <w:sz w:val="21"/>
                      <w:szCs w:val="21"/>
                      <w:highlight w:val="none"/>
                    </w:rPr>
                    <w:t>l.5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jc w:val="center"/>
              </w:trPr>
              <w:tc>
                <w:tcPr>
                  <w:tcW w:w="949" w:type="pct"/>
                  <w:vMerge w:val="continue"/>
                  <w:tcBorders>
                    <w:top w:val="nil"/>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p>
              </w:tc>
              <w:tc>
                <w:tcPr>
                  <w:tcW w:w="1217"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在导管内</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5" w:hRule="atLeast"/>
                <w:jc w:val="center"/>
              </w:trPr>
              <w:tc>
                <w:tcPr>
                  <w:tcW w:w="949" w:type="pct"/>
                  <w:vMerge w:val="restart"/>
                  <w:tcBorders>
                    <w:top w:val="single" w:color="000000" w:sz="2" w:space="0"/>
                    <w:bottom w:val="nil"/>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1"/>
                      <w:sz w:val="21"/>
                      <w:szCs w:val="21"/>
                      <w:highlight w:val="none"/>
                    </w:rPr>
                    <w:t>其他燃气管道</w:t>
                  </w:r>
                </w:p>
              </w:tc>
              <w:tc>
                <w:tcPr>
                  <w:tcW w:w="1217"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1"/>
                      <w:sz w:val="21"/>
                      <w:szCs w:val="21"/>
                      <w:highlight w:val="none"/>
                    </w:rPr>
                    <w:t>DN≤300mm</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0.4</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0.4</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0.4</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0.4</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5" w:hRule="atLeast"/>
                <w:jc w:val="center"/>
              </w:trPr>
              <w:tc>
                <w:tcPr>
                  <w:tcW w:w="949" w:type="pct"/>
                  <w:vMerge w:val="continue"/>
                  <w:tcBorders>
                    <w:top w:val="nil"/>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p>
              </w:tc>
              <w:tc>
                <w:tcPr>
                  <w:tcW w:w="1217"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1"/>
                      <w:sz w:val="21"/>
                      <w:szCs w:val="21"/>
                      <w:highlight w:val="none"/>
                    </w:rPr>
                    <w:t>DN&gt;300mm</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0.5</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0.5</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0.5</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0.5</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5" w:hRule="atLeast"/>
                <w:jc w:val="center"/>
              </w:trPr>
              <w:tc>
                <w:tcPr>
                  <w:tcW w:w="949" w:type="pct"/>
                  <w:vMerge w:val="restart"/>
                  <w:tcBorders>
                    <w:top w:val="single" w:color="000000" w:sz="2" w:space="0"/>
                    <w:bottom w:val="nil"/>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热力管</w:t>
                  </w:r>
                </w:p>
              </w:tc>
              <w:tc>
                <w:tcPr>
                  <w:tcW w:w="1217"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直埋</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1.5</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jc w:val="center"/>
              </w:trPr>
              <w:tc>
                <w:tcPr>
                  <w:tcW w:w="949" w:type="pct"/>
                  <w:vMerge w:val="continue"/>
                  <w:tcBorders>
                    <w:top w:val="nil"/>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p>
              </w:tc>
              <w:tc>
                <w:tcPr>
                  <w:tcW w:w="1217"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在管沟内</w:t>
                  </w:r>
                  <w:r>
                    <w:rPr>
                      <w:rFonts w:hint="eastAsia" w:ascii="宋体" w:hAnsi="宋体" w:eastAsia="宋体" w:cs="宋体"/>
                      <w:color w:val="auto"/>
                      <w:spacing w:val="3"/>
                      <w:sz w:val="21"/>
                      <w:szCs w:val="21"/>
                      <w:highlight w:val="none"/>
                      <w:lang w:eastAsia="zh-CN"/>
                    </w:rPr>
                    <w:t>（</w:t>
                  </w:r>
                  <w:r>
                    <w:rPr>
                      <w:rFonts w:hint="eastAsia" w:ascii="宋体" w:hAnsi="宋体" w:eastAsia="宋体" w:cs="宋体"/>
                      <w:color w:val="auto"/>
                      <w:spacing w:val="3"/>
                      <w:sz w:val="21"/>
                      <w:szCs w:val="21"/>
                      <w:highlight w:val="none"/>
                    </w:rPr>
                    <w:t>至外壁</w:t>
                  </w:r>
                  <w:r>
                    <w:rPr>
                      <w:rFonts w:hint="eastAsia" w:ascii="宋体" w:hAnsi="宋体" w:eastAsia="宋体" w:cs="宋体"/>
                      <w:color w:val="auto"/>
                      <w:spacing w:val="3"/>
                      <w:sz w:val="21"/>
                      <w:szCs w:val="21"/>
                      <w:highlight w:val="none"/>
                      <w:lang w:eastAsia="zh-CN"/>
                    </w:rPr>
                    <w:t>）</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1.5</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1.5</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2.0</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949" w:type="pct"/>
                  <w:vMerge w:val="restart"/>
                  <w:tcBorders>
                    <w:top w:val="single" w:color="000000" w:sz="2" w:space="0"/>
                    <w:bottom w:val="nil"/>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7"/>
                      <w:sz w:val="21"/>
                      <w:szCs w:val="21"/>
                      <w:highlight w:val="none"/>
                    </w:rPr>
                    <w:t>电杆</w:t>
                  </w:r>
                  <w:r>
                    <w:rPr>
                      <w:rFonts w:hint="eastAsia" w:ascii="宋体" w:hAnsi="宋体" w:eastAsia="宋体" w:cs="宋体"/>
                      <w:color w:val="auto"/>
                      <w:spacing w:val="7"/>
                      <w:sz w:val="21"/>
                      <w:szCs w:val="21"/>
                      <w:highlight w:val="none"/>
                      <w:lang w:eastAsia="zh-CN"/>
                    </w:rPr>
                    <w:t>（</w:t>
                  </w:r>
                  <w:r>
                    <w:rPr>
                      <w:rFonts w:hint="eastAsia" w:ascii="宋体" w:hAnsi="宋体" w:eastAsia="宋体" w:cs="宋体"/>
                      <w:color w:val="auto"/>
                      <w:spacing w:val="7"/>
                      <w:sz w:val="21"/>
                      <w:szCs w:val="21"/>
                      <w:highlight w:val="none"/>
                    </w:rPr>
                    <w:t>塔</w:t>
                  </w:r>
                  <w:r>
                    <w:rPr>
                      <w:rFonts w:hint="eastAsia" w:ascii="宋体" w:hAnsi="宋体" w:eastAsia="宋体" w:cs="宋体"/>
                      <w:color w:val="auto"/>
                      <w:spacing w:val="7"/>
                      <w:sz w:val="21"/>
                      <w:szCs w:val="21"/>
                      <w:highlight w:val="none"/>
                      <w:lang w:eastAsia="zh-CN"/>
                    </w:rPr>
                    <w:t>）</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pacing w:val="2"/>
                      <w:sz w:val="21"/>
                      <w:szCs w:val="21"/>
                      <w:highlight w:val="none"/>
                    </w:rPr>
                    <w:t>基础</w:t>
                  </w:r>
                </w:p>
              </w:tc>
              <w:tc>
                <w:tcPr>
                  <w:tcW w:w="1217"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≤35kV</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5" w:hRule="atLeast"/>
                <w:jc w:val="center"/>
              </w:trPr>
              <w:tc>
                <w:tcPr>
                  <w:tcW w:w="949" w:type="pct"/>
                  <w:vMerge w:val="continue"/>
                  <w:tcBorders>
                    <w:top w:val="nil"/>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p>
              </w:tc>
              <w:tc>
                <w:tcPr>
                  <w:tcW w:w="1217"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&gt;35kV</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2.0</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2.0</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2.0</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5.0</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 w:hRule="atLeast"/>
                <w:jc w:val="center"/>
              </w:trPr>
              <w:tc>
                <w:tcPr>
                  <w:tcW w:w="2167"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lang w:eastAsia="zh-CN"/>
                    </w:rPr>
                  </w:pPr>
                  <w:r>
                    <w:rPr>
                      <w:rFonts w:hint="eastAsia" w:ascii="宋体" w:hAnsi="宋体" w:eastAsia="宋体" w:cs="宋体"/>
                      <w:color w:val="auto"/>
                      <w:spacing w:val="-1"/>
                      <w:sz w:val="21"/>
                      <w:szCs w:val="21"/>
                      <w:highlight w:val="none"/>
                    </w:rPr>
                    <w:t>通信照明电杆</w:t>
                  </w:r>
                  <w:r>
                    <w:rPr>
                      <w:rFonts w:hint="eastAsia" w:ascii="宋体" w:hAnsi="宋体" w:eastAsia="宋体" w:cs="宋体"/>
                      <w:color w:val="auto"/>
                      <w:spacing w:val="-1"/>
                      <w:sz w:val="21"/>
                      <w:szCs w:val="21"/>
                      <w:highlight w:val="none"/>
                      <w:lang w:eastAsia="zh-CN"/>
                    </w:rPr>
                    <w:t>（</w:t>
                  </w:r>
                  <w:r>
                    <w:rPr>
                      <w:rFonts w:hint="eastAsia" w:ascii="宋体" w:hAnsi="宋体" w:eastAsia="宋体" w:cs="宋体"/>
                      <w:color w:val="auto"/>
                      <w:spacing w:val="-1"/>
                      <w:sz w:val="21"/>
                      <w:szCs w:val="21"/>
                      <w:highlight w:val="none"/>
                    </w:rPr>
                    <w:t>至电杆中心</w:t>
                  </w:r>
                  <w:r>
                    <w:rPr>
                      <w:rFonts w:hint="eastAsia" w:ascii="宋体" w:hAnsi="宋体" w:eastAsia="宋体" w:cs="宋体"/>
                      <w:color w:val="auto"/>
                      <w:spacing w:val="-1"/>
                      <w:sz w:val="21"/>
                      <w:szCs w:val="21"/>
                      <w:highlight w:val="none"/>
                      <w:lang w:eastAsia="zh-CN"/>
                    </w:rPr>
                    <w:t>）</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5" w:hRule="atLeast"/>
                <w:jc w:val="center"/>
              </w:trPr>
              <w:tc>
                <w:tcPr>
                  <w:tcW w:w="2167"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1"/>
                      <w:sz w:val="21"/>
                      <w:szCs w:val="21"/>
                      <w:highlight w:val="none"/>
                    </w:rPr>
                    <w:t>铁路路堤坡脚</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5.0</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5.0</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5.0</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5.0</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5" w:hRule="atLeast"/>
                <w:jc w:val="center"/>
              </w:trPr>
              <w:tc>
                <w:tcPr>
                  <w:tcW w:w="2167"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1"/>
                      <w:sz w:val="21"/>
                      <w:szCs w:val="21"/>
                      <w:highlight w:val="none"/>
                    </w:rPr>
                    <w:t>有轨电车钢轨</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2.0</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2.0</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2.0</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2.0</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jc w:val="center"/>
              </w:trPr>
              <w:tc>
                <w:tcPr>
                  <w:tcW w:w="2167"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4"/>
                      <w:sz w:val="21"/>
                      <w:szCs w:val="21"/>
                      <w:highlight w:val="none"/>
                    </w:rPr>
                    <w:t>街树</w:t>
                  </w:r>
                  <w:r>
                    <w:rPr>
                      <w:rFonts w:hint="eastAsia" w:ascii="宋体" w:hAnsi="宋体" w:eastAsia="宋体" w:cs="宋体"/>
                      <w:color w:val="auto"/>
                      <w:spacing w:val="4"/>
                      <w:sz w:val="21"/>
                      <w:szCs w:val="21"/>
                      <w:highlight w:val="none"/>
                      <w:lang w:eastAsia="zh-CN"/>
                    </w:rPr>
                    <w:t>（</w:t>
                  </w:r>
                  <w:r>
                    <w:rPr>
                      <w:rFonts w:hint="eastAsia" w:ascii="宋体" w:hAnsi="宋体" w:eastAsia="宋体" w:cs="宋体"/>
                      <w:color w:val="auto"/>
                      <w:spacing w:val="4"/>
                      <w:sz w:val="21"/>
                      <w:szCs w:val="21"/>
                      <w:highlight w:val="none"/>
                    </w:rPr>
                    <w:t>至树中心</w:t>
                  </w:r>
                  <w:r>
                    <w:rPr>
                      <w:rFonts w:hint="eastAsia" w:ascii="宋体" w:hAnsi="宋体" w:eastAsia="宋体" w:cs="宋体"/>
                      <w:color w:val="auto"/>
                      <w:spacing w:val="4"/>
                      <w:sz w:val="21"/>
                      <w:szCs w:val="21"/>
                      <w:highlight w:val="none"/>
                      <w:lang w:eastAsia="zh-CN"/>
                    </w:rPr>
                    <w:t>）</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0.75</w:t>
                  </w:r>
                </w:p>
              </w:tc>
              <w:tc>
                <w:tcPr>
                  <w:tcW w:w="53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0.75</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0.75</w:t>
                  </w:r>
                </w:p>
              </w:tc>
              <w:tc>
                <w:tcPr>
                  <w:tcW w:w="54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1.2</w:t>
                  </w:r>
                </w:p>
              </w:tc>
              <w:tc>
                <w:tcPr>
                  <w:tcW w:w="66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1.2</w:t>
                  </w:r>
                </w:p>
              </w:tc>
            </w:tr>
          </w:tbl>
          <w:p>
            <w:pPr>
              <w:keepNext w:val="0"/>
              <w:keepLines w:val="0"/>
              <w:pageBreakBefore w:val="0"/>
              <w:kinsoku/>
              <w:wordWrap/>
              <w:overflowPunct/>
              <w:topLinePunct w:val="0"/>
              <w:autoSpaceDE/>
              <w:autoSpaceDN/>
              <w:bidi w:val="0"/>
              <w:spacing w:line="260" w:lineRule="atLeast"/>
              <w:ind w:left="0" w:firstLine="305"/>
              <w:jc w:val="center"/>
              <w:rPr>
                <w:rFonts w:hint="eastAsia" w:ascii="宋体" w:hAnsi="宋体" w:eastAsia="宋体" w:cs="宋体"/>
                <w:color w:val="auto"/>
                <w:spacing w:val="-1"/>
                <w:sz w:val="21"/>
                <w:szCs w:val="21"/>
                <w:highlight w:val="none"/>
                <w:lang w:eastAsia="zh-CN"/>
              </w:rPr>
            </w:pPr>
            <w:r>
              <w:rPr>
                <w:rFonts w:hint="eastAsia" w:ascii="宋体" w:hAnsi="宋体" w:eastAsia="宋体" w:cs="宋体"/>
                <w:color w:val="auto"/>
                <w:spacing w:val="-1"/>
                <w:sz w:val="21"/>
                <w:szCs w:val="21"/>
                <w:highlight w:val="none"/>
              </w:rPr>
              <w:t>表6.3.3-2地下燃气管道与构筑物或相邻管道之间垂直净距</w:t>
            </w:r>
            <w:r>
              <w:rPr>
                <w:rFonts w:hint="eastAsia" w:ascii="宋体" w:hAnsi="宋体" w:eastAsia="宋体" w:cs="宋体"/>
                <w:color w:val="auto"/>
                <w:spacing w:val="-1"/>
                <w:sz w:val="21"/>
                <w:szCs w:val="21"/>
                <w:highlight w:val="none"/>
                <w:lang w:eastAsia="zh-CN"/>
              </w:rPr>
              <w:t>（</w:t>
            </w:r>
            <w:r>
              <w:rPr>
                <w:rFonts w:hint="eastAsia" w:ascii="宋体" w:hAnsi="宋体" w:eastAsia="宋体" w:cs="宋体"/>
                <w:color w:val="auto"/>
                <w:spacing w:val="-1"/>
                <w:sz w:val="21"/>
                <w:szCs w:val="21"/>
                <w:highlight w:val="none"/>
              </w:rPr>
              <w:t>m</w:t>
            </w:r>
            <w:r>
              <w:rPr>
                <w:rFonts w:hint="eastAsia" w:ascii="宋体" w:hAnsi="宋体" w:eastAsia="宋体" w:cs="宋体"/>
                <w:color w:val="auto"/>
                <w:spacing w:val="-1"/>
                <w:sz w:val="21"/>
                <w:szCs w:val="21"/>
                <w:highlight w:val="none"/>
                <w:lang w:eastAsia="zh-CN"/>
              </w:rPr>
              <w:t>）</w:t>
            </w:r>
          </w:p>
          <w:tbl>
            <w:tblPr>
              <w:tblStyle w:val="121"/>
              <w:tblW w:w="4999"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2663"/>
              <w:gridCol w:w="2615"/>
              <w:gridCol w:w="555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jc w:val="center"/>
              </w:trPr>
              <w:tc>
                <w:tcPr>
                  <w:tcW w:w="2436"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项</w:t>
                  </w:r>
                  <w:r>
                    <w:rPr>
                      <w:rFonts w:hint="eastAsia" w:ascii="宋体" w:hAnsi="宋体" w:eastAsia="宋体" w:cs="宋体"/>
                      <w:color w:val="auto"/>
                      <w:spacing w:val="14"/>
                      <w:sz w:val="21"/>
                      <w:szCs w:val="21"/>
                      <w:highlight w:val="none"/>
                    </w:rPr>
                    <w:t xml:space="preserve">    </w:t>
                  </w:r>
                  <w:r>
                    <w:rPr>
                      <w:rFonts w:hint="eastAsia" w:ascii="宋体" w:hAnsi="宋体" w:eastAsia="宋体" w:cs="宋体"/>
                      <w:color w:val="auto"/>
                      <w:spacing w:val="-5"/>
                      <w:sz w:val="21"/>
                      <w:szCs w:val="21"/>
                      <w:highlight w:val="none"/>
                    </w:rPr>
                    <w:t>目</w:t>
                  </w:r>
                </w:p>
              </w:tc>
              <w:tc>
                <w:tcPr>
                  <w:tcW w:w="2563"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1"/>
                      <w:sz w:val="21"/>
                      <w:szCs w:val="21"/>
                      <w:highlight w:val="none"/>
                    </w:rPr>
                    <w:t>地下燃气管道</w:t>
                  </w:r>
                  <w:r>
                    <w:rPr>
                      <w:rFonts w:hint="eastAsia" w:ascii="宋体" w:hAnsi="宋体" w:eastAsia="宋体" w:cs="宋体"/>
                      <w:color w:val="auto"/>
                      <w:spacing w:val="1"/>
                      <w:sz w:val="21"/>
                      <w:szCs w:val="21"/>
                      <w:highlight w:val="none"/>
                      <w:lang w:eastAsia="zh-CN"/>
                    </w:rPr>
                    <w:t>（</w:t>
                  </w:r>
                  <w:r>
                    <w:rPr>
                      <w:rFonts w:hint="eastAsia" w:ascii="宋体" w:hAnsi="宋体" w:eastAsia="宋体" w:cs="宋体"/>
                      <w:color w:val="auto"/>
                      <w:spacing w:val="1"/>
                      <w:sz w:val="21"/>
                      <w:szCs w:val="21"/>
                      <w:highlight w:val="none"/>
                    </w:rPr>
                    <w:t>当有套管时，以套管计</w:t>
                  </w:r>
                  <w:r>
                    <w:rPr>
                      <w:rFonts w:hint="eastAsia" w:ascii="宋体" w:hAnsi="宋体" w:eastAsia="宋体" w:cs="宋体"/>
                      <w:color w:val="auto"/>
                      <w:spacing w:val="1"/>
                      <w:sz w:val="21"/>
                      <w:szCs w:val="21"/>
                      <w:highlight w:val="none"/>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jc w:val="center"/>
              </w:trPr>
              <w:tc>
                <w:tcPr>
                  <w:tcW w:w="2436"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1"/>
                      <w:sz w:val="21"/>
                      <w:szCs w:val="21"/>
                      <w:highlight w:val="none"/>
                    </w:rPr>
                    <w:t>给水管、排水管或其他燃气管道</w:t>
                  </w:r>
                </w:p>
              </w:tc>
              <w:tc>
                <w:tcPr>
                  <w:tcW w:w="2563"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5" w:hRule="atLeast"/>
                <w:jc w:val="center"/>
              </w:trPr>
              <w:tc>
                <w:tcPr>
                  <w:tcW w:w="2436"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1"/>
                      <w:sz w:val="21"/>
                      <w:szCs w:val="21"/>
                      <w:highlight w:val="none"/>
                    </w:rPr>
                    <w:t>热力管、热力管的管沟底</w:t>
                  </w:r>
                  <w:r>
                    <w:rPr>
                      <w:rFonts w:hint="eastAsia" w:ascii="宋体" w:hAnsi="宋体" w:eastAsia="宋体" w:cs="宋体"/>
                      <w:color w:val="auto"/>
                      <w:spacing w:val="-1"/>
                      <w:sz w:val="21"/>
                      <w:szCs w:val="21"/>
                      <w:highlight w:val="none"/>
                      <w:lang w:eastAsia="zh-CN"/>
                    </w:rPr>
                    <w:t>（</w:t>
                  </w:r>
                  <w:r>
                    <w:rPr>
                      <w:rFonts w:hint="eastAsia" w:ascii="宋体" w:hAnsi="宋体" w:eastAsia="宋体" w:cs="宋体"/>
                      <w:color w:val="auto"/>
                      <w:spacing w:val="-1"/>
                      <w:sz w:val="21"/>
                      <w:szCs w:val="21"/>
                      <w:highlight w:val="none"/>
                    </w:rPr>
                    <w:t>或顶</w:t>
                  </w:r>
                  <w:r>
                    <w:rPr>
                      <w:rFonts w:hint="eastAsia" w:ascii="宋体" w:hAnsi="宋体" w:eastAsia="宋体" w:cs="宋体"/>
                      <w:color w:val="auto"/>
                      <w:spacing w:val="-1"/>
                      <w:sz w:val="21"/>
                      <w:szCs w:val="21"/>
                      <w:highlight w:val="none"/>
                      <w:lang w:eastAsia="zh-CN"/>
                    </w:rPr>
                    <w:t>）</w:t>
                  </w:r>
                </w:p>
              </w:tc>
              <w:tc>
                <w:tcPr>
                  <w:tcW w:w="2563"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9" w:hRule="atLeast"/>
                <w:jc w:val="center"/>
              </w:trPr>
              <w:tc>
                <w:tcPr>
                  <w:tcW w:w="1229" w:type="pct"/>
                  <w:vMerge w:val="restart"/>
                  <w:tcBorders>
                    <w:top w:val="single" w:color="000000" w:sz="2" w:space="0"/>
                    <w:bottom w:val="nil"/>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1"/>
                      <w:sz w:val="21"/>
                      <w:szCs w:val="21"/>
                      <w:highlight w:val="none"/>
                    </w:rPr>
                    <w:t>电缆</w:t>
                  </w:r>
                </w:p>
              </w:tc>
              <w:tc>
                <w:tcPr>
                  <w:tcW w:w="120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4"/>
                      <w:sz w:val="21"/>
                      <w:szCs w:val="21"/>
                      <w:highlight w:val="none"/>
                    </w:rPr>
                    <w:t>直</w:t>
                  </w:r>
                  <w:r>
                    <w:rPr>
                      <w:rFonts w:hint="eastAsia" w:ascii="宋体" w:hAnsi="宋体" w:eastAsia="宋体" w:cs="宋体"/>
                      <w:color w:val="auto"/>
                      <w:sz w:val="21"/>
                      <w:szCs w:val="21"/>
                      <w:highlight w:val="none"/>
                    </w:rPr>
                    <w:t xml:space="preserve">    </w:t>
                  </w:r>
                  <w:r>
                    <w:rPr>
                      <w:rFonts w:hint="eastAsia" w:ascii="宋体" w:hAnsi="宋体" w:eastAsia="宋体" w:cs="宋体"/>
                      <w:color w:val="auto"/>
                      <w:spacing w:val="-4"/>
                      <w:sz w:val="21"/>
                      <w:szCs w:val="21"/>
                      <w:highlight w:val="none"/>
                    </w:rPr>
                    <w:t>埋</w:t>
                  </w:r>
                </w:p>
              </w:tc>
              <w:tc>
                <w:tcPr>
                  <w:tcW w:w="2563"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jc w:val="center"/>
              </w:trPr>
              <w:tc>
                <w:tcPr>
                  <w:tcW w:w="1229" w:type="pct"/>
                  <w:vMerge w:val="continue"/>
                  <w:tcBorders>
                    <w:top w:val="nil"/>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p>
              </w:tc>
              <w:tc>
                <w:tcPr>
                  <w:tcW w:w="120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在导管内</w:t>
                  </w:r>
                </w:p>
              </w:tc>
              <w:tc>
                <w:tcPr>
                  <w:tcW w:w="2563"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0.15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jc w:val="center"/>
              </w:trPr>
              <w:tc>
                <w:tcPr>
                  <w:tcW w:w="2436"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铁路</w:t>
                  </w:r>
                  <w:r>
                    <w:rPr>
                      <w:rFonts w:hint="eastAsia" w:ascii="宋体" w:hAnsi="宋体" w:eastAsia="宋体" w:cs="宋体"/>
                      <w:color w:val="auto"/>
                      <w:spacing w:val="5"/>
                      <w:sz w:val="21"/>
                      <w:szCs w:val="21"/>
                      <w:highlight w:val="none"/>
                      <w:lang w:eastAsia="zh-CN"/>
                    </w:rPr>
                    <w:t>（</w:t>
                  </w:r>
                  <w:r>
                    <w:rPr>
                      <w:rFonts w:hint="eastAsia" w:ascii="宋体" w:hAnsi="宋体" w:eastAsia="宋体" w:cs="宋体"/>
                      <w:color w:val="auto"/>
                      <w:spacing w:val="5"/>
                      <w:sz w:val="21"/>
                      <w:szCs w:val="21"/>
                      <w:highlight w:val="none"/>
                    </w:rPr>
                    <w:t>轨底</w:t>
                  </w:r>
                  <w:r>
                    <w:rPr>
                      <w:rFonts w:hint="eastAsia" w:ascii="宋体" w:hAnsi="宋体" w:eastAsia="宋体" w:cs="宋体"/>
                      <w:color w:val="auto"/>
                      <w:spacing w:val="5"/>
                      <w:sz w:val="21"/>
                      <w:szCs w:val="21"/>
                      <w:highlight w:val="none"/>
                      <w:lang w:eastAsia="zh-CN"/>
                    </w:rPr>
                    <w:t>）</w:t>
                  </w:r>
                </w:p>
              </w:tc>
              <w:tc>
                <w:tcPr>
                  <w:tcW w:w="2563"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4"/>
                      <w:sz w:val="21"/>
                      <w:szCs w:val="21"/>
                      <w:highlight w:val="none"/>
                    </w:rPr>
                    <w:t>1.20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9" w:hRule="atLeast"/>
                <w:jc w:val="center"/>
              </w:trPr>
              <w:tc>
                <w:tcPr>
                  <w:tcW w:w="2436"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4"/>
                      <w:sz w:val="21"/>
                      <w:szCs w:val="21"/>
                      <w:highlight w:val="none"/>
                    </w:rPr>
                    <w:t>有轨电车</w:t>
                  </w:r>
                  <w:r>
                    <w:rPr>
                      <w:rFonts w:hint="eastAsia" w:ascii="宋体" w:hAnsi="宋体" w:eastAsia="宋体" w:cs="宋体"/>
                      <w:color w:val="auto"/>
                      <w:spacing w:val="4"/>
                      <w:sz w:val="21"/>
                      <w:szCs w:val="21"/>
                      <w:highlight w:val="none"/>
                      <w:lang w:eastAsia="zh-CN"/>
                    </w:rPr>
                    <w:t>（</w:t>
                  </w:r>
                  <w:r>
                    <w:rPr>
                      <w:rFonts w:hint="eastAsia" w:ascii="宋体" w:hAnsi="宋体" w:eastAsia="宋体" w:cs="宋体"/>
                      <w:color w:val="auto"/>
                      <w:spacing w:val="4"/>
                      <w:sz w:val="21"/>
                      <w:szCs w:val="21"/>
                      <w:highlight w:val="none"/>
                    </w:rPr>
                    <w:t>轨底</w:t>
                  </w:r>
                  <w:r>
                    <w:rPr>
                      <w:rFonts w:hint="eastAsia" w:ascii="宋体" w:hAnsi="宋体" w:eastAsia="宋体" w:cs="宋体"/>
                      <w:color w:val="auto"/>
                      <w:spacing w:val="4"/>
                      <w:sz w:val="21"/>
                      <w:szCs w:val="21"/>
                      <w:highlight w:val="none"/>
                      <w:lang w:eastAsia="zh-CN"/>
                    </w:rPr>
                    <w:t>）</w:t>
                  </w:r>
                </w:p>
              </w:tc>
              <w:tc>
                <w:tcPr>
                  <w:tcW w:w="2563"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pacing w:val="-4"/>
                      <w:sz w:val="21"/>
                      <w:szCs w:val="21"/>
                      <w:highlight w:val="none"/>
                    </w:rPr>
                    <w:t>1.00</w:t>
                  </w:r>
                </w:p>
              </w:tc>
            </w:tr>
          </w:tbl>
          <w:p>
            <w:pPr>
              <w:keepNext w:val="0"/>
              <w:keepLines w:val="0"/>
              <w:pageBreakBefore w:val="0"/>
              <w:widowControl/>
              <w:kinsoku/>
              <w:wordWrap/>
              <w:overflowPunct/>
              <w:topLinePunct w:val="0"/>
              <w:autoSpaceDE/>
              <w:autoSpaceDN/>
              <w:bidi w:val="0"/>
              <w:spacing w:line="260" w:lineRule="atLeast"/>
              <w:ind w:left="0" w:firstLine="211" w:firstLineChars="100"/>
              <w:jc w:val="left"/>
              <w:rPr>
                <w:rFonts w:hint="eastAsia" w:ascii="宋体" w:hAnsi="宋体" w:eastAsia="宋体" w:cs="宋体"/>
                <w:color w:val="auto"/>
                <w:sz w:val="21"/>
                <w:szCs w:val="21"/>
                <w:highlight w:val="none"/>
              </w:rPr>
            </w:pPr>
            <w:r>
              <w:rPr>
                <w:rFonts w:hint="eastAsia" w:ascii="宋体" w:hAnsi="宋体" w:eastAsia="宋体" w:cs="宋体"/>
                <w:b/>
                <w:bCs/>
                <w:color w:val="auto"/>
                <w:kern w:val="0"/>
                <w:sz w:val="21"/>
                <w:szCs w:val="21"/>
                <w:highlight w:val="none"/>
                <w:lang w:bidi="ar"/>
              </w:rPr>
              <w:t>注</w:t>
            </w:r>
            <w:r>
              <w:rPr>
                <w:rFonts w:hint="eastAsia" w:ascii="宋体" w:hAnsi="宋体" w:eastAsia="宋体" w:cs="宋体"/>
                <w:color w:val="auto"/>
                <w:kern w:val="0"/>
                <w:sz w:val="21"/>
                <w:szCs w:val="21"/>
                <w:highlight w:val="none"/>
                <w:lang w:bidi="ar"/>
              </w:rPr>
              <w:t xml:space="preserve">： 1 当次高压燃气管道压力与表中数不相同时，可采用直线方程内插法确定水平净距。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2 如受地形限制不能满足表6.3.3-1和表6.3.3-2时，经与有关部门协商，采取有效的安全防护措施后，表6.3.3-1</w:t>
            </w:r>
            <w:r>
              <w:rPr>
                <w:rFonts w:hint="eastAsia" w:ascii="宋体" w:hAnsi="宋体" w:eastAsia="宋体" w:cs="宋体"/>
                <w:color w:val="auto"/>
                <w:kern w:val="0"/>
                <w:sz w:val="21"/>
                <w:szCs w:val="21"/>
                <w:highlight w:val="none"/>
                <w:lang w:eastAsia="zh-CN" w:bidi="ar"/>
              </w:rPr>
              <w:t>和表</w:t>
            </w:r>
            <w:r>
              <w:rPr>
                <w:rFonts w:hint="eastAsia" w:ascii="宋体" w:hAnsi="宋体" w:eastAsia="宋体" w:cs="宋体"/>
                <w:color w:val="auto"/>
                <w:kern w:val="0"/>
                <w:sz w:val="21"/>
                <w:szCs w:val="21"/>
                <w:highlight w:val="none"/>
                <w:lang w:bidi="ar"/>
              </w:rPr>
              <w:t>6.3.3-2规定的净距，均可适当缩小，但低压管道不应</w:t>
            </w:r>
            <w:r>
              <w:rPr>
                <w:rFonts w:hint="eastAsia" w:ascii="宋体" w:hAnsi="宋体" w:eastAsia="宋体" w:cs="宋体"/>
                <w:color w:val="auto"/>
                <w:kern w:val="0"/>
                <w:sz w:val="21"/>
                <w:szCs w:val="21"/>
                <w:highlight w:val="none"/>
                <w:lang w:eastAsia="zh-CN" w:bidi="ar"/>
              </w:rPr>
              <w:t>影响</w:t>
            </w:r>
            <w:r>
              <w:rPr>
                <w:rFonts w:hint="eastAsia" w:ascii="宋体" w:hAnsi="宋体" w:eastAsia="宋体" w:cs="宋体"/>
                <w:color w:val="auto"/>
                <w:kern w:val="0"/>
                <w:sz w:val="21"/>
                <w:szCs w:val="21"/>
                <w:highlight w:val="none"/>
                <w:lang w:bidi="ar"/>
              </w:rPr>
              <w:t>建</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构</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筑物和相邻管道基础的稳固性，中压管道距建筑物基础不应小于0.5m 且距建筑物外墙面不应小于1m</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 xml:space="preserve">次高压燃气管道距建筑物外墙面不应小于3.0m。其中当对次高压 燃气管道采取有效的安全防护措施或当管道壁厚不小于9.5mm时，管道距建筑物外墙面不应小于6.5m；当管壁厚度不小于1l.9mm时，管道距建筑物外墙面不应小于3.0m。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3 6.3.3-1</w:t>
            </w:r>
            <w:r>
              <w:rPr>
                <w:rFonts w:hint="eastAsia" w:ascii="宋体" w:hAnsi="宋体" w:eastAsia="宋体" w:cs="宋体"/>
                <w:color w:val="auto"/>
                <w:kern w:val="0"/>
                <w:sz w:val="21"/>
                <w:szCs w:val="21"/>
                <w:highlight w:val="none"/>
                <w:lang w:eastAsia="zh-CN" w:bidi="ar"/>
              </w:rPr>
              <w:t>和表</w:t>
            </w:r>
            <w:r>
              <w:rPr>
                <w:rFonts w:hint="eastAsia" w:ascii="宋体" w:hAnsi="宋体" w:eastAsia="宋体" w:cs="宋体"/>
                <w:color w:val="auto"/>
                <w:kern w:val="0"/>
                <w:sz w:val="21"/>
                <w:szCs w:val="21"/>
                <w:highlight w:val="none"/>
                <w:lang w:bidi="ar"/>
              </w:rPr>
              <w:t xml:space="preserve">6.3.3-2 规定除地下燃气管道与热力管的净距不适于聚乙烯燃气管道和钢骨架聚乙烯塑料复合管外，其他规定均适用于聚乙烯燃气管道和钢骨架聚乙烯塑料复合管道。聚乙烯燃气管道与热力管道的净距应按国家现行标准《聚乙烯燃气管道工程技术规程》CJJ63执行。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4 地下燃气管道与电杆</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塔</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 xml:space="preserve">基础之间的水平净距，还应满足本规范表6.7.5地下燃气管道与交流电力线接地体的净距规定。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6.7.5 地下燃气管道与交流电力线接地体的净距不应小于6.7.5</w:t>
            </w:r>
            <w:r>
              <w:rPr>
                <w:rFonts w:hint="eastAsia" w:ascii="宋体" w:hAnsi="宋体" w:eastAsia="宋体" w:cs="宋体"/>
                <w:color w:val="auto"/>
                <w:kern w:val="0"/>
                <w:sz w:val="21"/>
                <w:szCs w:val="21"/>
                <w:highlight w:val="none"/>
                <w:lang w:eastAsia="zh-CN" w:bidi="ar"/>
              </w:rPr>
              <w:t>的</w:t>
            </w:r>
            <w:r>
              <w:rPr>
                <w:rFonts w:hint="eastAsia" w:ascii="宋体" w:hAnsi="宋体" w:eastAsia="宋体" w:cs="宋体"/>
                <w:color w:val="auto"/>
                <w:kern w:val="0"/>
                <w:sz w:val="21"/>
                <w:szCs w:val="21"/>
                <w:highlight w:val="none"/>
                <w:lang w:bidi="ar"/>
              </w:rPr>
              <w:t>规定。</w:t>
            </w:r>
          </w:p>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eastAsia="zh-CN" w:bidi="ar"/>
              </w:rPr>
            </w:pPr>
            <w:r>
              <w:rPr>
                <w:rFonts w:hint="eastAsia" w:ascii="宋体" w:hAnsi="宋体" w:eastAsia="宋体" w:cs="宋体"/>
                <w:color w:val="auto"/>
                <w:kern w:val="0"/>
                <w:sz w:val="21"/>
                <w:szCs w:val="21"/>
                <w:highlight w:val="none"/>
                <w:lang w:bidi="ar"/>
              </w:rPr>
              <w:t>表6.7.5 地下燃气管道与交流电力线接地体的净距</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m</w:t>
            </w:r>
            <w:r>
              <w:rPr>
                <w:rFonts w:hint="eastAsia" w:ascii="宋体" w:hAnsi="宋体" w:eastAsia="宋体" w:cs="宋体"/>
                <w:color w:val="auto"/>
                <w:kern w:val="0"/>
                <w:sz w:val="21"/>
                <w:szCs w:val="21"/>
                <w:highlight w:val="none"/>
                <w:lang w:eastAsia="zh-CN" w:bidi="ar"/>
              </w:rPr>
              <w:t>）</w:t>
            </w:r>
          </w:p>
          <w:tbl>
            <w:tblPr>
              <w:tblStyle w:val="121"/>
              <w:tblW w:w="4999"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3541"/>
              <w:gridCol w:w="1894"/>
              <w:gridCol w:w="1894"/>
              <w:gridCol w:w="1911"/>
              <w:gridCol w:w="159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trPr>
              <w:tc>
                <w:tcPr>
                  <w:tcW w:w="1634"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eastAsia="zh-CN" w:bidi="ar"/>
                    </w:rPr>
                  </w:pPr>
                  <w:r>
                    <w:rPr>
                      <w:rFonts w:hint="eastAsia" w:ascii="宋体" w:hAnsi="宋体" w:eastAsia="宋体" w:cs="宋体"/>
                      <w:color w:val="auto"/>
                      <w:kern w:val="0"/>
                      <w:sz w:val="21"/>
                      <w:szCs w:val="21"/>
                      <w:highlight w:val="none"/>
                      <w:lang w:bidi="ar"/>
                    </w:rPr>
                    <w:t>电压等级</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kV</w:t>
                  </w:r>
                  <w:r>
                    <w:rPr>
                      <w:rFonts w:hint="eastAsia" w:ascii="宋体" w:hAnsi="宋体" w:eastAsia="宋体" w:cs="宋体"/>
                      <w:color w:val="auto"/>
                      <w:kern w:val="0"/>
                      <w:sz w:val="21"/>
                      <w:szCs w:val="21"/>
                      <w:highlight w:val="none"/>
                      <w:lang w:eastAsia="zh-CN" w:bidi="ar"/>
                    </w:rPr>
                    <w:t>）</w:t>
                  </w:r>
                </w:p>
              </w:tc>
              <w:tc>
                <w:tcPr>
                  <w:tcW w:w="874"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10</w:t>
                  </w:r>
                </w:p>
              </w:tc>
              <w:tc>
                <w:tcPr>
                  <w:tcW w:w="874"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35</w:t>
                  </w:r>
                </w:p>
              </w:tc>
              <w:tc>
                <w:tcPr>
                  <w:tcW w:w="882"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110</w:t>
                  </w:r>
                </w:p>
              </w:tc>
              <w:tc>
                <w:tcPr>
                  <w:tcW w:w="734"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220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634"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铁塔或电杆接地体</w:t>
                  </w:r>
                </w:p>
              </w:tc>
              <w:tc>
                <w:tcPr>
                  <w:tcW w:w="874"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1</w:t>
                  </w:r>
                </w:p>
              </w:tc>
              <w:tc>
                <w:tcPr>
                  <w:tcW w:w="874"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3</w:t>
                  </w:r>
                </w:p>
              </w:tc>
              <w:tc>
                <w:tcPr>
                  <w:tcW w:w="882"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5</w:t>
                  </w:r>
                </w:p>
              </w:tc>
              <w:tc>
                <w:tcPr>
                  <w:tcW w:w="734"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 w:hRule="atLeast"/>
              </w:trPr>
              <w:tc>
                <w:tcPr>
                  <w:tcW w:w="1634"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电站或变电所接地体</w:t>
                  </w:r>
                </w:p>
              </w:tc>
              <w:tc>
                <w:tcPr>
                  <w:tcW w:w="874"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5</w:t>
                  </w:r>
                </w:p>
              </w:tc>
              <w:tc>
                <w:tcPr>
                  <w:tcW w:w="874"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10</w:t>
                  </w:r>
                </w:p>
              </w:tc>
              <w:tc>
                <w:tcPr>
                  <w:tcW w:w="882"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15</w:t>
                  </w:r>
                </w:p>
              </w:tc>
              <w:tc>
                <w:tcPr>
                  <w:tcW w:w="734"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30</w:t>
                  </w:r>
                </w:p>
              </w:tc>
            </w:tr>
          </w:tbl>
          <w:p>
            <w:pPr>
              <w:keepNext w:val="0"/>
              <w:keepLines w:val="0"/>
              <w:pageBreakBefore w:val="0"/>
              <w:kinsoku/>
              <w:wordWrap/>
              <w:overflowPunct/>
              <w:topLinePunct w:val="0"/>
              <w:autoSpaceDE/>
              <w:autoSpaceDN/>
              <w:bidi w:val="0"/>
              <w:spacing w:line="260" w:lineRule="atLeast"/>
              <w:ind w:left="0" w:firstLine="3"/>
              <w:jc w:val="left"/>
              <w:rPr>
                <w:rFonts w:hint="eastAsia" w:ascii="宋体" w:hAnsi="宋体" w:eastAsia="宋体" w:cs="宋体"/>
                <w:color w:val="auto"/>
                <w:sz w:val="21"/>
                <w:szCs w:val="21"/>
                <w:highlight w:val="none"/>
              </w:rPr>
            </w:pPr>
            <w:r>
              <w:rPr>
                <w:rFonts w:hint="eastAsia" w:ascii="宋体" w:hAnsi="宋体" w:eastAsia="宋体" w:cs="宋体"/>
                <w:color w:val="auto"/>
                <w:spacing w:val="6"/>
                <w:sz w:val="21"/>
                <w:szCs w:val="21"/>
                <w:highlight w:val="none"/>
              </w:rPr>
              <w:t>6.3.15 室外架空的燃气管道，可沿建筑物外墙或支柱敷设，并</w:t>
            </w:r>
            <w:r>
              <w:rPr>
                <w:rFonts w:hint="eastAsia" w:ascii="宋体" w:hAnsi="宋体" w:eastAsia="宋体" w:cs="宋体"/>
                <w:color w:val="auto"/>
                <w:spacing w:val="-1"/>
                <w:sz w:val="21"/>
                <w:szCs w:val="21"/>
                <w:highlight w:val="none"/>
              </w:rPr>
              <w:t>应符合下列要求：</w:t>
            </w:r>
          </w:p>
          <w:p>
            <w:pPr>
              <w:keepNext w:val="0"/>
              <w:keepLines w:val="0"/>
              <w:pageBreakBefore w:val="0"/>
              <w:kinsoku/>
              <w:wordWrap/>
              <w:overflowPunct/>
              <w:topLinePunct w:val="0"/>
              <w:autoSpaceDE/>
              <w:autoSpaceDN/>
              <w:bidi w:val="0"/>
              <w:spacing w:line="260" w:lineRule="atLeast"/>
              <w:ind w:left="0" w:firstLine="222" w:firstLineChars="100"/>
              <w:jc w:val="left"/>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3 架空燃气管道与铁路、道路、其他管线交叉时的垂直净距不应小于表6.3.15的规定。</w:t>
            </w:r>
          </w:p>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表6.3.15</w:t>
            </w:r>
            <w:r>
              <w:rPr>
                <w:rFonts w:hint="eastAsia" w:ascii="宋体" w:hAnsi="宋体" w:eastAsia="宋体" w:cs="宋体"/>
                <w:color w:val="auto"/>
                <w:kern w:val="0"/>
                <w:sz w:val="21"/>
                <w:szCs w:val="21"/>
                <w:highlight w:val="none"/>
                <w:lang w:val="en-US" w:eastAsia="zh-CN" w:bidi="ar"/>
              </w:rPr>
              <w:t xml:space="preserve"> </w:t>
            </w:r>
            <w:r>
              <w:rPr>
                <w:rFonts w:hint="eastAsia" w:ascii="宋体" w:hAnsi="宋体" w:eastAsia="宋体" w:cs="宋体"/>
                <w:color w:val="auto"/>
                <w:kern w:val="0"/>
                <w:sz w:val="21"/>
                <w:szCs w:val="21"/>
                <w:highlight w:val="none"/>
                <w:lang w:bidi="ar"/>
              </w:rPr>
              <w:t>架空燃气管道与铁路、道路、其他管线交叉时的垂直间距</w:t>
            </w:r>
          </w:p>
          <w:tbl>
            <w:tblPr>
              <w:tblStyle w:val="121"/>
              <w:tblW w:w="4999"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2735"/>
              <w:gridCol w:w="2767"/>
              <w:gridCol w:w="2711"/>
              <w:gridCol w:w="17"/>
              <w:gridCol w:w="26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wBefore w:w="0" w:type="auto"/>
                <w:wAfter w:w="0" w:type="auto"/>
                <w:trHeight w:val="389" w:hRule="atLeast"/>
                <w:jc w:val="center"/>
              </w:trPr>
              <w:tc>
                <w:tcPr>
                  <w:tcW w:w="2539" w:type="pct"/>
                  <w:gridSpan w:val="2"/>
                  <w:vMerge w:val="restart"/>
                  <w:tcBorders>
                    <w:top w:val="single" w:color="000000" w:sz="2" w:space="0"/>
                    <w:bottom w:val="nil"/>
                  </w:tcBorders>
                  <w:vAlign w:val="center"/>
                </w:tcPr>
                <w:p>
                  <w:pPr>
                    <w:keepNext w:val="0"/>
                    <w:keepLines w:val="0"/>
                    <w:pageBreakBefore w:val="0"/>
                    <w:kinsoku/>
                    <w:wordWrap/>
                    <w:overflowPunct/>
                    <w:topLinePunct w:val="0"/>
                    <w:autoSpaceDE/>
                    <w:autoSpaceDN/>
                    <w:bidi w:val="0"/>
                    <w:spacing w:line="260" w:lineRule="atLeast"/>
                    <w:ind w:left="0" w:firstLine="222" w:firstLineChars="1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建筑物和管线名称</w:t>
                  </w:r>
                </w:p>
              </w:tc>
              <w:tc>
                <w:tcPr>
                  <w:tcW w:w="2460" w:type="pct"/>
                  <w:gridSpan w:val="3"/>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lang w:eastAsia="zh-CN"/>
                    </w:rPr>
                  </w:pPr>
                  <w:r>
                    <w:rPr>
                      <w:rFonts w:hint="eastAsia" w:ascii="宋体" w:hAnsi="宋体" w:eastAsia="宋体" w:cs="宋体"/>
                      <w:color w:val="auto"/>
                      <w:spacing w:val="6"/>
                      <w:sz w:val="21"/>
                      <w:szCs w:val="21"/>
                      <w:highlight w:val="none"/>
                    </w:rPr>
                    <w:t>最小垂直净距</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m</w:t>
                  </w:r>
                  <w:r>
                    <w:rPr>
                      <w:rFonts w:hint="eastAsia" w:ascii="宋体" w:hAnsi="宋体" w:eastAsia="宋体" w:cs="宋体"/>
                      <w:color w:val="auto"/>
                      <w:spacing w:val="6"/>
                      <w:sz w:val="21"/>
                      <w:szCs w:val="21"/>
                      <w:highlight w:val="none"/>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wBefore w:w="0" w:type="auto"/>
                <w:wAfter w:w="0" w:type="auto"/>
                <w:trHeight w:val="394" w:hRule="atLeast"/>
                <w:jc w:val="center"/>
              </w:trPr>
              <w:tc>
                <w:tcPr>
                  <w:tcW w:w="2539" w:type="pct"/>
                  <w:gridSpan w:val="2"/>
                  <w:vMerge w:val="continue"/>
                  <w:tcBorders>
                    <w:top w:val="nil"/>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p>
              </w:tc>
              <w:tc>
                <w:tcPr>
                  <w:tcW w:w="1259"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燃气管道下</w:t>
                  </w:r>
                </w:p>
              </w:tc>
              <w:tc>
                <w:tcPr>
                  <w:tcW w:w="1201"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燃气管道上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wBefore w:w="0" w:type="auto"/>
                <w:wAfter w:w="0" w:type="auto"/>
                <w:trHeight w:val="374" w:hRule="atLeast"/>
                <w:jc w:val="center"/>
              </w:trPr>
              <w:tc>
                <w:tcPr>
                  <w:tcW w:w="2539"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铁路轨顶</w:t>
                  </w:r>
                </w:p>
              </w:tc>
              <w:tc>
                <w:tcPr>
                  <w:tcW w:w="1259"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6.0</w:t>
                  </w:r>
                </w:p>
              </w:tc>
              <w:tc>
                <w:tcPr>
                  <w:tcW w:w="1201"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wBefore w:w="0" w:type="auto"/>
                <w:wAfter w:w="0" w:type="auto"/>
                <w:trHeight w:val="354" w:hRule="atLeast"/>
                <w:jc w:val="center"/>
              </w:trPr>
              <w:tc>
                <w:tcPr>
                  <w:tcW w:w="2539"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城市道路路面</w:t>
                  </w:r>
                </w:p>
              </w:tc>
              <w:tc>
                <w:tcPr>
                  <w:tcW w:w="1259"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5.5</w:t>
                  </w:r>
                </w:p>
              </w:tc>
              <w:tc>
                <w:tcPr>
                  <w:tcW w:w="1201"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wBefore w:w="0" w:type="auto"/>
                <w:wAfter w:w="0" w:type="auto"/>
                <w:trHeight w:val="374" w:hRule="atLeast"/>
                <w:jc w:val="center"/>
              </w:trPr>
              <w:tc>
                <w:tcPr>
                  <w:tcW w:w="2539"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厂区道路路面</w:t>
                  </w:r>
                </w:p>
              </w:tc>
              <w:tc>
                <w:tcPr>
                  <w:tcW w:w="1259"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5.0</w:t>
                  </w:r>
                </w:p>
              </w:tc>
              <w:tc>
                <w:tcPr>
                  <w:tcW w:w="1201"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wBefore w:w="0" w:type="auto"/>
                <w:wAfter w:w="0" w:type="auto"/>
                <w:trHeight w:val="459" w:hRule="atLeast"/>
                <w:jc w:val="center"/>
              </w:trPr>
              <w:tc>
                <w:tcPr>
                  <w:tcW w:w="2539"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人行道路路面</w:t>
                  </w:r>
                </w:p>
              </w:tc>
              <w:tc>
                <w:tcPr>
                  <w:tcW w:w="1259"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2.2</w:t>
                  </w:r>
                </w:p>
              </w:tc>
              <w:tc>
                <w:tcPr>
                  <w:tcW w:w="1201"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jc w:val="center"/>
              </w:trPr>
              <w:tc>
                <w:tcPr>
                  <w:tcW w:w="2539" w:type="pct"/>
                  <w:gridSpan w:val="2"/>
                  <w:vMerge w:val="restart"/>
                  <w:tcBorders>
                    <w:top w:val="single" w:color="000000" w:sz="2" w:space="0"/>
                    <w:bottom w:val="nil"/>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建筑物和管线名称</w:t>
                  </w:r>
                </w:p>
              </w:tc>
              <w:tc>
                <w:tcPr>
                  <w:tcW w:w="2460" w:type="pct"/>
                  <w:gridSpan w:val="3"/>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lang w:eastAsia="zh-CN"/>
                    </w:rPr>
                  </w:pPr>
                  <w:r>
                    <w:rPr>
                      <w:rFonts w:hint="eastAsia" w:ascii="宋体" w:hAnsi="宋体" w:eastAsia="宋体" w:cs="宋体"/>
                      <w:color w:val="auto"/>
                      <w:spacing w:val="6"/>
                      <w:sz w:val="21"/>
                      <w:szCs w:val="21"/>
                      <w:highlight w:val="none"/>
                    </w:rPr>
                    <w:t>最小垂直净距</w:t>
                  </w:r>
                  <w:r>
                    <w:rPr>
                      <w:rFonts w:hint="eastAsia" w:ascii="宋体" w:hAnsi="宋体" w:eastAsia="宋体" w:cs="宋体"/>
                      <w:color w:val="auto"/>
                      <w:spacing w:val="6"/>
                      <w:sz w:val="21"/>
                      <w:szCs w:val="21"/>
                      <w:highlight w:val="none"/>
                      <w:lang w:eastAsia="zh-CN"/>
                    </w:rPr>
                    <w:t>（</w:t>
                  </w:r>
                  <w:r>
                    <w:rPr>
                      <w:rFonts w:hint="eastAsia" w:ascii="宋体" w:hAnsi="宋体" w:eastAsia="宋体" w:cs="宋体"/>
                      <w:color w:val="auto"/>
                      <w:spacing w:val="6"/>
                      <w:sz w:val="21"/>
                      <w:szCs w:val="21"/>
                      <w:highlight w:val="none"/>
                    </w:rPr>
                    <w:t>m</w:t>
                  </w:r>
                  <w:r>
                    <w:rPr>
                      <w:rFonts w:hint="eastAsia" w:ascii="宋体" w:hAnsi="宋体" w:eastAsia="宋体" w:cs="宋体"/>
                      <w:color w:val="auto"/>
                      <w:spacing w:val="6"/>
                      <w:sz w:val="21"/>
                      <w:szCs w:val="21"/>
                      <w:highlight w:val="none"/>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jc w:val="center"/>
              </w:trPr>
              <w:tc>
                <w:tcPr>
                  <w:tcW w:w="2539" w:type="pct"/>
                  <w:gridSpan w:val="2"/>
                  <w:vMerge w:val="continue"/>
                  <w:tcBorders>
                    <w:top w:val="nil"/>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p>
              </w:tc>
              <w:tc>
                <w:tcPr>
                  <w:tcW w:w="1251"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燃气管道下</w:t>
                  </w:r>
                </w:p>
              </w:tc>
              <w:tc>
                <w:tcPr>
                  <w:tcW w:w="1208"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燃气管道上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jc w:val="center"/>
              </w:trPr>
              <w:tc>
                <w:tcPr>
                  <w:tcW w:w="1262" w:type="pct"/>
                  <w:vMerge w:val="restart"/>
                  <w:tcBorders>
                    <w:top w:val="single" w:color="000000" w:sz="2" w:space="0"/>
                    <w:bottom w:val="nil"/>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架空电力线、电压</w:t>
                  </w:r>
                </w:p>
              </w:tc>
              <w:tc>
                <w:tcPr>
                  <w:tcW w:w="1277"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3kV以下</w:t>
                  </w:r>
                </w:p>
              </w:tc>
              <w:tc>
                <w:tcPr>
                  <w:tcW w:w="1251"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w:t>
                  </w:r>
                </w:p>
              </w:tc>
              <w:tc>
                <w:tcPr>
                  <w:tcW w:w="1208"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jc w:val="center"/>
              </w:trPr>
              <w:tc>
                <w:tcPr>
                  <w:tcW w:w="1262" w:type="pct"/>
                  <w:vMerge w:val="continue"/>
                  <w:tcBorders>
                    <w:top w:val="nil"/>
                    <w:bottom w:val="nil"/>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p>
              </w:tc>
              <w:tc>
                <w:tcPr>
                  <w:tcW w:w="1277"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3~10kV</w:t>
                  </w:r>
                </w:p>
              </w:tc>
              <w:tc>
                <w:tcPr>
                  <w:tcW w:w="1251"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w:t>
                  </w:r>
                </w:p>
              </w:tc>
              <w:tc>
                <w:tcPr>
                  <w:tcW w:w="1208"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jc w:val="center"/>
              </w:trPr>
              <w:tc>
                <w:tcPr>
                  <w:tcW w:w="1262" w:type="pct"/>
                  <w:vMerge w:val="continue"/>
                  <w:tcBorders>
                    <w:top w:val="nil"/>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p>
              </w:tc>
              <w:tc>
                <w:tcPr>
                  <w:tcW w:w="1277"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35～66kV</w:t>
                  </w:r>
                </w:p>
              </w:tc>
              <w:tc>
                <w:tcPr>
                  <w:tcW w:w="1251"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w:t>
                  </w:r>
                </w:p>
              </w:tc>
              <w:tc>
                <w:tcPr>
                  <w:tcW w:w="1208"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1262" w:type="pct"/>
                  <w:vMerge w:val="restart"/>
                  <w:tcBorders>
                    <w:top w:val="single" w:color="000000" w:sz="2" w:space="0"/>
                    <w:bottom w:val="nil"/>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其他管道，管径</w:t>
                  </w:r>
                </w:p>
              </w:tc>
              <w:tc>
                <w:tcPr>
                  <w:tcW w:w="1277"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≤300mm</w:t>
                  </w:r>
                </w:p>
              </w:tc>
              <w:tc>
                <w:tcPr>
                  <w:tcW w:w="1251"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同管道直径，但不小于0.10</w:t>
                  </w:r>
                </w:p>
              </w:tc>
              <w:tc>
                <w:tcPr>
                  <w:tcW w:w="1208"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同左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9" w:hRule="atLeast"/>
                <w:jc w:val="center"/>
              </w:trPr>
              <w:tc>
                <w:tcPr>
                  <w:tcW w:w="1262" w:type="pct"/>
                  <w:vMerge w:val="continue"/>
                  <w:tcBorders>
                    <w:top w:val="nil"/>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p>
              </w:tc>
              <w:tc>
                <w:tcPr>
                  <w:tcW w:w="1277"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&gt;300mm</w:t>
                  </w:r>
                </w:p>
              </w:tc>
              <w:tc>
                <w:tcPr>
                  <w:tcW w:w="1251"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0.30</w:t>
                  </w:r>
                </w:p>
              </w:tc>
              <w:tc>
                <w:tcPr>
                  <w:tcW w:w="1208" w:type="pct"/>
                  <w:gridSpan w:val="2"/>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666" w:firstLineChars="300"/>
                    <w:jc w:val="center"/>
                    <w:rPr>
                      <w:rFonts w:hint="eastAsia" w:ascii="宋体" w:hAnsi="宋体" w:eastAsia="宋体" w:cs="宋体"/>
                      <w:color w:val="auto"/>
                      <w:spacing w:val="6"/>
                      <w:sz w:val="21"/>
                      <w:szCs w:val="21"/>
                      <w:highlight w:val="none"/>
                    </w:rPr>
                  </w:pPr>
                  <w:r>
                    <w:rPr>
                      <w:rFonts w:hint="eastAsia" w:ascii="宋体" w:hAnsi="宋体" w:eastAsia="宋体" w:cs="宋体"/>
                      <w:color w:val="auto"/>
                      <w:spacing w:val="6"/>
                      <w:sz w:val="21"/>
                      <w:szCs w:val="21"/>
                      <w:highlight w:val="none"/>
                    </w:rPr>
                    <w:t>0.30</w:t>
                  </w:r>
                </w:p>
              </w:tc>
            </w:tr>
          </w:tbl>
          <w:p>
            <w:pPr>
              <w:keepNext w:val="0"/>
              <w:keepLines w:val="0"/>
              <w:pageBreakBefore w:val="0"/>
              <w:widowControl/>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注：1 厂区内部的燃气管道，在保证安全的情况下，管底至道路路面的垂直净距可取4.5m；管底至铁路轨顶的垂直净距，可取5.5m.在车辆和人行道以外的地区，可在从地面到管底高度不小于0.35m的低支柱上敷设燃气管道。</w:t>
            </w:r>
          </w:p>
          <w:p>
            <w:pPr>
              <w:keepNext w:val="0"/>
              <w:keepLines w:val="0"/>
              <w:pageBreakBefore w:val="0"/>
              <w:widowControl/>
              <w:kinsoku/>
              <w:wordWrap/>
              <w:overflowPunct/>
              <w:topLinePunct w:val="0"/>
              <w:autoSpaceDE/>
              <w:autoSpaceDN/>
              <w:bidi w:val="0"/>
              <w:adjustRightInd/>
              <w:snapToGrid/>
              <w:spacing w:line="260" w:lineRule="atLeast"/>
              <w:ind w:left="0" w:firstLine="224" w:firstLineChars="100"/>
              <w:jc w:val="left"/>
              <w:textAlignment w:val="auto"/>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2 电气机车铁路除外。</w:t>
            </w:r>
          </w:p>
          <w:p>
            <w:pPr>
              <w:keepNext w:val="0"/>
              <w:keepLines w:val="0"/>
              <w:pageBreakBefore w:val="0"/>
              <w:widowControl/>
              <w:kinsoku/>
              <w:wordWrap/>
              <w:overflowPunct/>
              <w:topLinePunct w:val="0"/>
              <w:autoSpaceDE/>
              <w:autoSpaceDN/>
              <w:bidi w:val="0"/>
              <w:adjustRightInd/>
              <w:snapToGrid/>
              <w:spacing w:line="260" w:lineRule="atLeast"/>
              <w:ind w:left="0" w:firstLine="200" w:firstLineChars="100"/>
              <w:jc w:val="left"/>
              <w:textAlignment w:val="auto"/>
              <w:rPr>
                <w:rFonts w:hint="eastAsia" w:ascii="宋体" w:hAnsi="宋体" w:eastAsia="宋体" w:cs="宋体"/>
                <w:b/>
                <w:bCs/>
                <w:color w:val="auto"/>
                <w:spacing w:val="10"/>
                <w:w w:val="101"/>
                <w:sz w:val="21"/>
                <w:szCs w:val="21"/>
                <w:highlight w:val="none"/>
                <w14:textOutline w14:w="3810" w14:cap="flat" w14:cmpd="sng" w14:algn="ctr">
                  <w14:solidFill>
                    <w14:srgbClr w14:val="000000"/>
                  </w14:solidFill>
                  <w14:prstDash w14:val="solid"/>
                  <w14:miter w14:val="0"/>
                </w14:textOutline>
              </w:rPr>
            </w:pPr>
            <w:r>
              <w:rPr>
                <w:rFonts w:hint="eastAsia" w:ascii="宋体" w:hAnsi="宋体" w:eastAsia="宋体" w:cs="宋体"/>
                <w:color w:val="auto"/>
                <w:spacing w:val="-5"/>
                <w:sz w:val="21"/>
                <w:szCs w:val="21"/>
                <w:highlight w:val="none"/>
              </w:rPr>
              <w:t>3 架空电力线与燃气管道的交叉垂直净距尚应考虑导线的最大垂度。</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5"/>
                <w:sz w:val="21"/>
                <w:szCs w:val="21"/>
                <w:highlight w:val="none"/>
              </w:rPr>
            </w:pPr>
            <w:r>
              <w:rPr>
                <w:rFonts w:hint="eastAsia" w:ascii="宋体" w:hAnsi="宋体" w:eastAsia="宋体" w:cs="宋体"/>
                <w:color w:val="auto"/>
                <w:spacing w:val="-5"/>
                <w:sz w:val="21"/>
                <w:szCs w:val="21"/>
                <w:highlight w:val="none"/>
              </w:rPr>
              <w:t>◇</w:t>
            </w:r>
            <w:r>
              <w:rPr>
                <w:rFonts w:hint="eastAsia" w:ascii="宋体" w:hAnsi="宋体" w:eastAsia="宋体" w:cs="宋体"/>
                <w:color w:val="auto"/>
                <w:spacing w:val="-5"/>
                <w:sz w:val="21"/>
                <w:szCs w:val="21"/>
                <w:highlight w:val="none"/>
                <w:u w:val="single"/>
              </w:rPr>
              <w:t>压力大于1.6MPa的室外燃气管道：</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z w:val="21"/>
                <w:szCs w:val="21"/>
                <w:highlight w:val="none"/>
              </w:rPr>
            </w:pPr>
            <w:r>
              <w:rPr>
                <w:rFonts w:hint="eastAsia" w:ascii="宋体" w:hAnsi="宋体" w:eastAsia="宋体" w:cs="宋体"/>
                <w:color w:val="auto"/>
                <w:spacing w:val="7"/>
                <w:sz w:val="21"/>
                <w:szCs w:val="21"/>
                <w:highlight w:val="none"/>
              </w:rPr>
              <w:t>6.4.11 一级或二级地区地下燃气管道与建筑物之间的水平净距不应小于表6.4.11的规定。</w:t>
            </w:r>
          </w:p>
          <w:p>
            <w:pPr>
              <w:keepNext w:val="0"/>
              <w:keepLines w:val="0"/>
              <w:pageBreakBefore w:val="0"/>
              <w:kinsoku/>
              <w:wordWrap/>
              <w:overflowPunct/>
              <w:topLinePunct w:val="0"/>
              <w:autoSpaceDE/>
              <w:autoSpaceDN/>
              <w:bidi w:val="0"/>
              <w:spacing w:line="260" w:lineRule="atLeast"/>
              <w:ind w:left="0" w:firstLine="25"/>
              <w:jc w:val="center"/>
              <w:rPr>
                <w:rFonts w:hint="eastAsia" w:ascii="宋体" w:hAnsi="宋体" w:eastAsia="宋体" w:cs="宋体"/>
                <w:color w:val="auto"/>
                <w:spacing w:val="7"/>
                <w:sz w:val="21"/>
                <w:szCs w:val="21"/>
                <w:highlight w:val="none"/>
                <w:lang w:eastAsia="zh-CN"/>
              </w:rPr>
            </w:pPr>
            <w:r>
              <w:rPr>
                <w:rFonts w:hint="eastAsia" w:ascii="宋体" w:hAnsi="宋体" w:eastAsia="宋体" w:cs="宋体"/>
                <w:color w:val="auto"/>
                <w:spacing w:val="7"/>
                <w:sz w:val="21"/>
                <w:szCs w:val="21"/>
                <w:highlight w:val="none"/>
              </w:rPr>
              <w:t>表6.4.11</w:t>
            </w:r>
            <w:r>
              <w:rPr>
                <w:rFonts w:hint="eastAsia" w:ascii="宋体" w:hAnsi="宋体" w:eastAsia="宋体" w:cs="宋体"/>
                <w:color w:val="auto"/>
                <w:spacing w:val="7"/>
                <w:sz w:val="21"/>
                <w:szCs w:val="21"/>
                <w:highlight w:val="none"/>
                <w:lang w:val="en-US" w:eastAsia="zh-CN"/>
              </w:rPr>
              <w:t xml:space="preserve"> </w:t>
            </w:r>
            <w:r>
              <w:rPr>
                <w:rFonts w:hint="eastAsia" w:ascii="宋体" w:hAnsi="宋体" w:eastAsia="宋体" w:cs="宋体"/>
                <w:color w:val="auto"/>
                <w:spacing w:val="7"/>
                <w:sz w:val="21"/>
                <w:szCs w:val="21"/>
                <w:highlight w:val="none"/>
              </w:rPr>
              <w:t>一级或二级地区地下燃气管道与建筑物之间的水平净距</w:t>
            </w:r>
            <w:r>
              <w:rPr>
                <w:rFonts w:hint="eastAsia" w:ascii="宋体" w:hAnsi="宋体" w:eastAsia="宋体" w:cs="宋体"/>
                <w:color w:val="auto"/>
                <w:spacing w:val="7"/>
                <w:sz w:val="21"/>
                <w:szCs w:val="21"/>
                <w:highlight w:val="none"/>
                <w:lang w:eastAsia="zh-CN"/>
              </w:rPr>
              <w:t>（</w:t>
            </w:r>
            <w:r>
              <w:rPr>
                <w:rFonts w:hint="eastAsia" w:ascii="宋体" w:hAnsi="宋体" w:eastAsia="宋体" w:cs="宋体"/>
                <w:color w:val="auto"/>
                <w:spacing w:val="7"/>
                <w:sz w:val="21"/>
                <w:szCs w:val="21"/>
                <w:highlight w:val="none"/>
              </w:rPr>
              <w:t>m</w:t>
            </w:r>
            <w:r>
              <w:rPr>
                <w:rFonts w:hint="eastAsia" w:ascii="宋体" w:hAnsi="宋体" w:eastAsia="宋体" w:cs="宋体"/>
                <w:color w:val="auto"/>
                <w:spacing w:val="7"/>
                <w:sz w:val="21"/>
                <w:szCs w:val="21"/>
                <w:highlight w:val="none"/>
                <w:lang w:eastAsia="zh-CN"/>
              </w:rPr>
              <w:t>）</w:t>
            </w:r>
          </w:p>
          <w:tbl>
            <w:tblPr>
              <w:tblStyle w:val="121"/>
              <w:tblW w:w="4999"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3521"/>
              <w:gridCol w:w="2336"/>
              <w:gridCol w:w="2336"/>
              <w:gridCol w:w="263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jc w:val="center"/>
              </w:trPr>
              <w:tc>
                <w:tcPr>
                  <w:tcW w:w="1625" w:type="pct"/>
                  <w:vMerge w:val="restart"/>
                  <w:tcBorders>
                    <w:top w:val="single" w:color="000000" w:sz="2" w:space="0"/>
                    <w:bottom w:val="nil"/>
                  </w:tcBorders>
                  <w:vAlign w:val="center"/>
                </w:tcPr>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燃气管道公称直径 DN</w:t>
                  </w:r>
                  <w:r>
                    <w:rPr>
                      <w:rFonts w:hint="eastAsia" w:ascii="宋体" w:hAnsi="宋体" w:eastAsia="宋体" w:cs="宋体"/>
                      <w:color w:val="auto"/>
                      <w:spacing w:val="7"/>
                      <w:sz w:val="21"/>
                      <w:szCs w:val="21"/>
                      <w:highlight w:val="none"/>
                      <w:lang w:eastAsia="zh-CN"/>
                    </w:rPr>
                    <w:t>（</w:t>
                  </w:r>
                  <w:r>
                    <w:rPr>
                      <w:rFonts w:hint="eastAsia" w:ascii="宋体" w:hAnsi="宋体" w:eastAsia="宋体" w:cs="宋体"/>
                      <w:color w:val="auto"/>
                      <w:spacing w:val="7"/>
                      <w:sz w:val="21"/>
                      <w:szCs w:val="21"/>
                      <w:highlight w:val="none"/>
                    </w:rPr>
                    <w:t>mm</w:t>
                  </w:r>
                  <w:r>
                    <w:rPr>
                      <w:rFonts w:hint="eastAsia" w:ascii="宋体" w:hAnsi="宋体" w:eastAsia="宋体" w:cs="宋体"/>
                      <w:color w:val="auto"/>
                      <w:spacing w:val="7"/>
                      <w:sz w:val="21"/>
                      <w:szCs w:val="21"/>
                      <w:highlight w:val="none"/>
                      <w:lang w:eastAsia="zh-CN"/>
                    </w:rPr>
                    <w:t>）</w:t>
                  </w:r>
                </w:p>
              </w:tc>
              <w:tc>
                <w:tcPr>
                  <w:tcW w:w="3374" w:type="pct"/>
                  <w:gridSpan w:val="3"/>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lang w:eastAsia="zh-CN"/>
                    </w:rPr>
                  </w:pPr>
                  <w:r>
                    <w:rPr>
                      <w:rFonts w:hint="eastAsia" w:ascii="宋体" w:hAnsi="宋体" w:eastAsia="宋体" w:cs="宋体"/>
                      <w:color w:val="auto"/>
                      <w:spacing w:val="7"/>
                      <w:sz w:val="21"/>
                      <w:szCs w:val="21"/>
                      <w:highlight w:val="none"/>
                    </w:rPr>
                    <w:t>地下燃气管道压力</w:t>
                  </w:r>
                  <w:r>
                    <w:rPr>
                      <w:rFonts w:hint="eastAsia" w:ascii="宋体" w:hAnsi="宋体" w:eastAsia="宋体" w:cs="宋体"/>
                      <w:color w:val="auto"/>
                      <w:spacing w:val="7"/>
                      <w:sz w:val="21"/>
                      <w:szCs w:val="21"/>
                      <w:highlight w:val="none"/>
                      <w:lang w:eastAsia="zh-CN"/>
                    </w:rPr>
                    <w:t>（</w:t>
                  </w:r>
                  <w:r>
                    <w:rPr>
                      <w:rFonts w:hint="eastAsia" w:ascii="宋体" w:hAnsi="宋体" w:eastAsia="宋体" w:cs="宋体"/>
                      <w:color w:val="auto"/>
                      <w:spacing w:val="7"/>
                      <w:sz w:val="21"/>
                      <w:szCs w:val="21"/>
                      <w:highlight w:val="none"/>
                    </w:rPr>
                    <w:t>MPa</w:t>
                  </w:r>
                  <w:r>
                    <w:rPr>
                      <w:rFonts w:hint="eastAsia" w:ascii="宋体" w:hAnsi="宋体" w:eastAsia="宋体" w:cs="宋体"/>
                      <w:color w:val="auto"/>
                      <w:spacing w:val="7"/>
                      <w:sz w:val="21"/>
                      <w:szCs w:val="21"/>
                      <w:highlight w:val="none"/>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jc w:val="center"/>
              </w:trPr>
              <w:tc>
                <w:tcPr>
                  <w:tcW w:w="1625" w:type="pct"/>
                  <w:vMerge w:val="continue"/>
                  <w:tcBorders>
                    <w:top w:val="nil"/>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p>
              </w:tc>
              <w:tc>
                <w:tcPr>
                  <w:tcW w:w="107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1.61</w:t>
                  </w:r>
                </w:p>
              </w:tc>
              <w:tc>
                <w:tcPr>
                  <w:tcW w:w="107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2.50</w:t>
                  </w:r>
                </w:p>
              </w:tc>
              <w:tc>
                <w:tcPr>
                  <w:tcW w:w="121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36" w:hRule="atLeast"/>
                <w:jc w:val="center"/>
              </w:trPr>
              <w:tc>
                <w:tcPr>
                  <w:tcW w:w="1625"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900&lt;DN≤1050</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750&lt;DN≤900</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600&lt;&lt;DN≤750</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450&lt;DN≤600</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300&lt;DN≤450</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150&lt;DN≤300</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DN≤150</w:t>
                  </w:r>
                </w:p>
              </w:tc>
              <w:tc>
                <w:tcPr>
                  <w:tcW w:w="107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53</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40</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31</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24</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19</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14</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11</w:t>
                  </w:r>
                </w:p>
              </w:tc>
              <w:tc>
                <w:tcPr>
                  <w:tcW w:w="107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60</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47</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37</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28</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23</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18</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13</w:t>
                  </w:r>
                </w:p>
              </w:tc>
              <w:tc>
                <w:tcPr>
                  <w:tcW w:w="1218"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70</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57</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45</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35</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28</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22</w:t>
                  </w:r>
                </w:p>
                <w:p>
                  <w:pPr>
                    <w:keepNext w:val="0"/>
                    <w:keepLines w:val="0"/>
                    <w:pageBreakBefore w:val="0"/>
                    <w:kinsoku/>
                    <w:wordWrap/>
                    <w:overflowPunct/>
                    <w:topLinePunct w:val="0"/>
                    <w:autoSpaceDE/>
                    <w:autoSpaceDN/>
                    <w:bidi w:val="0"/>
                    <w:spacing w:line="260" w:lineRule="atLeast"/>
                    <w:ind w:left="0" w:firstLine="25"/>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15</w:t>
                  </w:r>
                </w:p>
              </w:tc>
            </w:tr>
          </w:tbl>
          <w:p>
            <w:pPr>
              <w:keepNext w:val="0"/>
              <w:keepLines w:val="0"/>
              <w:pageBreakBefore w:val="0"/>
              <w:kinsoku/>
              <w:wordWrap/>
              <w:overflowPunct/>
              <w:topLinePunct w:val="0"/>
              <w:autoSpaceDE/>
              <w:autoSpaceDN/>
              <w:bidi w:val="0"/>
              <w:spacing w:line="260" w:lineRule="atLeast"/>
              <w:ind w:left="0" w:firstLine="204" w:firstLineChars="100"/>
              <w:jc w:val="left"/>
              <w:rPr>
                <w:rFonts w:hint="eastAsia" w:ascii="宋体" w:hAnsi="宋体" w:eastAsia="宋体" w:cs="宋体"/>
                <w:color w:val="auto"/>
                <w:spacing w:val="-3"/>
                <w:sz w:val="21"/>
                <w:szCs w:val="21"/>
                <w:highlight w:val="none"/>
              </w:rPr>
            </w:pPr>
            <w:r>
              <w:rPr>
                <w:rFonts w:hint="eastAsia" w:ascii="宋体" w:hAnsi="宋体" w:eastAsia="宋体" w:cs="宋体"/>
                <w:color w:val="auto"/>
                <w:spacing w:val="-3"/>
                <w:sz w:val="21"/>
                <w:szCs w:val="21"/>
                <w:highlight w:val="none"/>
              </w:rPr>
              <w:t>注：1 当燃气管道强度设计系数不大于0.4时，一级或二级地区地下燃气管道与建筑物之间的水平净距可按表6.4.12确定。</w:t>
            </w:r>
          </w:p>
          <w:p>
            <w:pPr>
              <w:keepNext w:val="0"/>
              <w:keepLines w:val="0"/>
              <w:pageBreakBefore w:val="0"/>
              <w:kinsoku/>
              <w:wordWrap/>
              <w:overflowPunct/>
              <w:topLinePunct w:val="0"/>
              <w:autoSpaceDE/>
              <w:autoSpaceDN/>
              <w:bidi w:val="0"/>
              <w:spacing w:line="260" w:lineRule="atLeast"/>
              <w:ind w:left="0" w:firstLine="204" w:firstLineChars="100"/>
              <w:jc w:val="left"/>
              <w:rPr>
                <w:rFonts w:hint="eastAsia" w:ascii="宋体" w:hAnsi="宋体" w:eastAsia="宋体" w:cs="宋体"/>
                <w:color w:val="auto"/>
                <w:spacing w:val="-3"/>
                <w:sz w:val="21"/>
                <w:szCs w:val="21"/>
                <w:highlight w:val="none"/>
              </w:rPr>
            </w:pPr>
            <w:r>
              <w:rPr>
                <w:rFonts w:hint="eastAsia" w:ascii="宋体" w:hAnsi="宋体" w:eastAsia="宋体" w:cs="宋体"/>
                <w:color w:val="auto"/>
                <w:spacing w:val="-3"/>
                <w:sz w:val="21"/>
                <w:szCs w:val="21"/>
                <w:highlight w:val="none"/>
              </w:rPr>
              <w:t xml:space="preserve">2 水平净距是指管道外壁到建筑物出地面处外墙面的距离。建筑物是指平常有人的建筑物。                                                     </w:t>
            </w:r>
          </w:p>
          <w:p>
            <w:pPr>
              <w:keepNext w:val="0"/>
              <w:keepLines w:val="0"/>
              <w:pageBreakBefore w:val="0"/>
              <w:kinsoku/>
              <w:wordWrap/>
              <w:overflowPunct/>
              <w:topLinePunct w:val="0"/>
              <w:autoSpaceDE/>
              <w:autoSpaceDN/>
              <w:bidi w:val="0"/>
              <w:spacing w:line="260" w:lineRule="atLeast"/>
              <w:ind w:left="0" w:firstLine="204" w:firstLineChars="100"/>
              <w:jc w:val="left"/>
              <w:rPr>
                <w:rFonts w:hint="eastAsia" w:ascii="宋体" w:hAnsi="宋体" w:eastAsia="宋体" w:cs="宋体"/>
                <w:b/>
                <w:bCs/>
                <w:color w:val="auto"/>
                <w:spacing w:val="10"/>
                <w:w w:val="101"/>
                <w:sz w:val="21"/>
                <w:szCs w:val="21"/>
                <w:highlight w:val="none"/>
                <w14:textOutline w14:w="3810" w14:cap="flat" w14:cmpd="sng" w14:algn="ctr">
                  <w14:solidFill>
                    <w14:srgbClr w14:val="000000"/>
                  </w14:solidFill>
                  <w14:prstDash w14:val="solid"/>
                  <w14:miter w14:val="0"/>
                </w14:textOutline>
              </w:rPr>
            </w:pPr>
            <w:r>
              <w:rPr>
                <w:rFonts w:hint="eastAsia" w:ascii="宋体" w:hAnsi="宋体" w:eastAsia="宋体" w:cs="宋体"/>
                <w:color w:val="auto"/>
                <w:spacing w:val="-3"/>
                <w:sz w:val="21"/>
                <w:szCs w:val="21"/>
                <w:highlight w:val="none"/>
              </w:rPr>
              <w:t>3 当燃气管道压力与表中数不相同时，可采用直线方程内插法确定3当燃气管道压力与表中数不相同时，可采用直线方程内插法确定水平净距。</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6.4.12 三级地区地下燃气管道与建筑物之间的水平净距不应小于表6.4.12</w:t>
            </w:r>
            <w:r>
              <w:rPr>
                <w:rFonts w:hint="eastAsia" w:ascii="宋体" w:hAnsi="宋体" w:eastAsia="宋体" w:cs="宋体"/>
                <w:color w:val="auto"/>
                <w:kern w:val="0"/>
                <w:sz w:val="21"/>
                <w:szCs w:val="21"/>
                <w:highlight w:val="none"/>
                <w:lang w:eastAsia="zh-CN" w:bidi="ar"/>
              </w:rPr>
              <w:t>的</w:t>
            </w:r>
            <w:r>
              <w:rPr>
                <w:rFonts w:hint="eastAsia" w:ascii="宋体" w:hAnsi="宋体" w:eastAsia="宋体" w:cs="宋体"/>
                <w:color w:val="auto"/>
                <w:kern w:val="0"/>
                <w:sz w:val="21"/>
                <w:szCs w:val="21"/>
                <w:highlight w:val="none"/>
                <w:lang w:bidi="ar"/>
              </w:rPr>
              <w:t>规定。</w:t>
            </w:r>
          </w:p>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eastAsia="zh-CN" w:bidi="ar"/>
              </w:rPr>
            </w:pPr>
            <w:r>
              <w:rPr>
                <w:rFonts w:hint="eastAsia" w:ascii="宋体" w:hAnsi="宋体" w:eastAsia="宋体" w:cs="宋体"/>
                <w:color w:val="auto"/>
                <w:kern w:val="0"/>
                <w:sz w:val="21"/>
                <w:szCs w:val="21"/>
                <w:highlight w:val="none"/>
                <w:lang w:bidi="ar"/>
              </w:rPr>
              <w:t>表6.4.12 三级地区地下燃气管道与建筑物之间的水平净距</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m</w:t>
            </w:r>
            <w:r>
              <w:rPr>
                <w:rFonts w:hint="eastAsia" w:ascii="宋体" w:hAnsi="宋体" w:eastAsia="宋体" w:cs="宋体"/>
                <w:color w:val="auto"/>
                <w:kern w:val="0"/>
                <w:sz w:val="21"/>
                <w:szCs w:val="21"/>
                <w:highlight w:val="none"/>
                <w:lang w:eastAsia="zh-CN" w:bidi="ar"/>
              </w:rPr>
              <w:t>）</w:t>
            </w:r>
          </w:p>
          <w:tbl>
            <w:tblPr>
              <w:tblStyle w:val="121"/>
              <w:tblW w:w="4999"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4693"/>
              <w:gridCol w:w="2048"/>
              <w:gridCol w:w="2048"/>
              <w:gridCol w:w="204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 w:hRule="atLeast"/>
                <w:jc w:val="center"/>
              </w:trPr>
              <w:tc>
                <w:tcPr>
                  <w:tcW w:w="2166" w:type="pct"/>
                  <w:vMerge w:val="restart"/>
                  <w:tcBorders>
                    <w:top w:val="single" w:color="000000" w:sz="2" w:space="0"/>
                    <w:bottom w:val="nil"/>
                  </w:tcBorders>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燃气管道公称直径和壁厚δ</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mm)</w:t>
                  </w:r>
                </w:p>
              </w:tc>
              <w:tc>
                <w:tcPr>
                  <w:tcW w:w="2833" w:type="pct"/>
                  <w:gridSpan w:val="3"/>
                  <w:tcBorders>
                    <w:top w:val="single" w:color="000000" w:sz="2" w:space="0"/>
                    <w:bottom w:val="single" w:color="000000" w:sz="2" w:space="0"/>
                  </w:tcBorders>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eastAsia="zh-CN" w:bidi="ar"/>
                    </w:rPr>
                  </w:pPr>
                  <w:r>
                    <w:rPr>
                      <w:rFonts w:hint="eastAsia" w:ascii="宋体" w:hAnsi="宋体" w:eastAsia="宋体" w:cs="宋体"/>
                      <w:color w:val="auto"/>
                      <w:kern w:val="0"/>
                      <w:sz w:val="21"/>
                      <w:szCs w:val="21"/>
                      <w:highlight w:val="none"/>
                      <w:lang w:bidi="ar"/>
                    </w:rPr>
                    <w:t>地下燃气管道压力</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MPa</w:t>
                  </w:r>
                  <w:r>
                    <w:rPr>
                      <w:rFonts w:hint="eastAsia" w:ascii="宋体" w:hAnsi="宋体" w:eastAsia="宋体" w:cs="宋体"/>
                      <w:color w:val="auto"/>
                      <w:kern w:val="0"/>
                      <w:sz w:val="21"/>
                      <w:szCs w:val="21"/>
                      <w:highlight w:val="none"/>
                      <w:lang w:eastAsia="zh-CN"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4" w:hRule="atLeast"/>
                <w:jc w:val="center"/>
              </w:trPr>
              <w:tc>
                <w:tcPr>
                  <w:tcW w:w="2166" w:type="pct"/>
                  <w:vMerge w:val="continue"/>
                  <w:tcBorders>
                    <w:top w:val="nil"/>
                    <w:bottom w:val="single" w:color="000000" w:sz="2" w:space="0"/>
                  </w:tcBorders>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p>
              </w:tc>
              <w:tc>
                <w:tcPr>
                  <w:tcW w:w="945" w:type="pct"/>
                  <w:tcBorders>
                    <w:top w:val="single" w:color="000000" w:sz="2" w:space="0"/>
                    <w:bottom w:val="single" w:color="000000" w:sz="2" w:space="0"/>
                  </w:tcBorders>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1.61</w:t>
                  </w:r>
                </w:p>
              </w:tc>
              <w:tc>
                <w:tcPr>
                  <w:tcW w:w="945" w:type="pct"/>
                  <w:tcBorders>
                    <w:top w:val="single" w:color="000000" w:sz="2" w:space="0"/>
                    <w:bottom w:val="single" w:color="000000" w:sz="2" w:space="0"/>
                  </w:tcBorders>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2.50</w:t>
                  </w:r>
                </w:p>
              </w:tc>
              <w:tc>
                <w:tcPr>
                  <w:tcW w:w="942" w:type="pct"/>
                  <w:tcBorders>
                    <w:top w:val="single" w:color="000000" w:sz="2" w:space="0"/>
                    <w:bottom w:val="single" w:color="000000" w:sz="2" w:space="0"/>
                  </w:tcBorders>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jc w:val="center"/>
              </w:trPr>
              <w:tc>
                <w:tcPr>
                  <w:tcW w:w="2166" w:type="pct"/>
                  <w:tcBorders>
                    <w:top w:val="single" w:color="000000" w:sz="2" w:space="0"/>
                    <w:bottom w:val="single" w:color="000000" w:sz="2" w:space="0"/>
                  </w:tcBorders>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A 所有管径δ&lt;9.5</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B 所有管径9.5≤δ&lt;11.9</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C 所有管径6&gt;11.9</w:t>
                  </w:r>
                </w:p>
              </w:tc>
              <w:tc>
                <w:tcPr>
                  <w:tcW w:w="945" w:type="pct"/>
                  <w:tcBorders>
                    <w:top w:val="single" w:color="000000" w:sz="2" w:space="0"/>
                    <w:bottom w:val="single" w:color="000000" w:sz="2" w:space="0"/>
                  </w:tcBorders>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13.5</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6.5</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3.0</w:t>
                  </w:r>
                </w:p>
              </w:tc>
              <w:tc>
                <w:tcPr>
                  <w:tcW w:w="945" w:type="pct"/>
                  <w:tcBorders>
                    <w:top w:val="single" w:color="000000" w:sz="2" w:space="0"/>
                    <w:bottom w:val="single" w:color="000000" w:sz="2" w:space="0"/>
                  </w:tcBorders>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15.0</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7.5</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5.0</w:t>
                  </w:r>
                </w:p>
              </w:tc>
              <w:tc>
                <w:tcPr>
                  <w:tcW w:w="942" w:type="pct"/>
                  <w:tcBorders>
                    <w:top w:val="single" w:color="000000" w:sz="2" w:space="0"/>
                    <w:bottom w:val="single" w:color="000000" w:sz="2" w:space="0"/>
                  </w:tcBorders>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17.0</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9.0</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8.0</w:t>
                  </w:r>
                </w:p>
              </w:tc>
            </w:tr>
          </w:tbl>
          <w:p>
            <w:pPr>
              <w:keepNext w:val="0"/>
              <w:keepLines w:val="0"/>
              <w:pageBreakBefore w:val="0"/>
              <w:kinsoku/>
              <w:wordWrap/>
              <w:overflowPunct/>
              <w:topLinePunct w:val="0"/>
              <w:autoSpaceDE/>
              <w:autoSpaceDN/>
              <w:bidi w:val="0"/>
              <w:spacing w:line="260" w:lineRule="atLeast"/>
              <w:ind w:left="0" w:firstLine="204" w:firstLineChars="100"/>
              <w:jc w:val="left"/>
              <w:rPr>
                <w:rFonts w:hint="eastAsia" w:ascii="宋体" w:hAnsi="宋体" w:eastAsia="宋体" w:cs="宋体"/>
                <w:color w:val="auto"/>
                <w:spacing w:val="-3"/>
                <w:sz w:val="21"/>
                <w:szCs w:val="21"/>
                <w:highlight w:val="none"/>
              </w:rPr>
            </w:pPr>
            <w:r>
              <w:rPr>
                <w:rFonts w:hint="eastAsia" w:ascii="宋体" w:hAnsi="宋体" w:eastAsia="宋体" w:cs="宋体"/>
                <w:color w:val="auto"/>
                <w:spacing w:val="-3"/>
                <w:sz w:val="21"/>
                <w:szCs w:val="21"/>
                <w:highlight w:val="none"/>
              </w:rPr>
              <w:t>注：1 当对燃气管道采取有效的保护措施时，δ&lt;9.5mm</w:t>
            </w:r>
            <w:r>
              <w:rPr>
                <w:rFonts w:hint="eastAsia" w:ascii="宋体" w:hAnsi="宋体" w:eastAsia="宋体" w:cs="宋体"/>
                <w:color w:val="auto"/>
                <w:spacing w:val="-3"/>
                <w:sz w:val="21"/>
                <w:szCs w:val="21"/>
                <w:highlight w:val="none"/>
                <w:lang w:eastAsia="zh-CN"/>
              </w:rPr>
              <w:t>的</w:t>
            </w:r>
            <w:r>
              <w:rPr>
                <w:rFonts w:hint="eastAsia" w:ascii="宋体" w:hAnsi="宋体" w:eastAsia="宋体" w:cs="宋体"/>
                <w:color w:val="auto"/>
                <w:spacing w:val="-3"/>
                <w:sz w:val="21"/>
                <w:szCs w:val="21"/>
                <w:highlight w:val="none"/>
              </w:rPr>
              <w:t xml:space="preserve">燃气管道也可采用表中B行的水平净距。 </w:t>
            </w:r>
          </w:p>
          <w:p>
            <w:pPr>
              <w:keepNext w:val="0"/>
              <w:keepLines w:val="0"/>
              <w:pageBreakBefore w:val="0"/>
              <w:kinsoku/>
              <w:wordWrap/>
              <w:overflowPunct/>
              <w:topLinePunct w:val="0"/>
              <w:autoSpaceDE/>
              <w:autoSpaceDN/>
              <w:bidi w:val="0"/>
              <w:spacing w:line="260" w:lineRule="atLeast"/>
              <w:ind w:left="0" w:firstLine="204" w:firstLineChars="100"/>
              <w:jc w:val="left"/>
              <w:rPr>
                <w:rFonts w:hint="eastAsia" w:ascii="宋体" w:hAnsi="宋体" w:eastAsia="宋体" w:cs="宋体"/>
                <w:color w:val="auto"/>
                <w:spacing w:val="-3"/>
                <w:sz w:val="21"/>
                <w:szCs w:val="21"/>
                <w:highlight w:val="none"/>
              </w:rPr>
            </w:pPr>
            <w:r>
              <w:rPr>
                <w:rFonts w:hint="eastAsia" w:ascii="宋体" w:hAnsi="宋体" w:eastAsia="宋体" w:cs="宋体"/>
                <w:color w:val="auto"/>
                <w:spacing w:val="-3"/>
                <w:sz w:val="21"/>
                <w:szCs w:val="21"/>
                <w:highlight w:val="none"/>
              </w:rPr>
              <w:t xml:space="preserve">2 水平净距是指管道外壁到建筑物出地面处外墙面的距离。建筑物是指平常有人的建筑物。 </w:t>
            </w:r>
          </w:p>
          <w:p>
            <w:pPr>
              <w:keepNext w:val="0"/>
              <w:keepLines w:val="0"/>
              <w:pageBreakBefore w:val="0"/>
              <w:kinsoku/>
              <w:wordWrap/>
              <w:overflowPunct/>
              <w:topLinePunct w:val="0"/>
              <w:autoSpaceDE/>
              <w:autoSpaceDN/>
              <w:bidi w:val="0"/>
              <w:spacing w:line="260" w:lineRule="atLeast"/>
              <w:ind w:left="0" w:firstLine="204" w:firstLineChars="100"/>
              <w:jc w:val="left"/>
              <w:rPr>
                <w:rFonts w:hint="eastAsia" w:ascii="宋体" w:hAnsi="宋体" w:eastAsia="宋体" w:cs="宋体"/>
                <w:color w:val="auto"/>
                <w:spacing w:val="-3"/>
                <w:sz w:val="21"/>
                <w:szCs w:val="21"/>
                <w:highlight w:val="none"/>
              </w:rPr>
            </w:pPr>
            <w:r>
              <w:rPr>
                <w:rFonts w:hint="eastAsia" w:ascii="宋体" w:hAnsi="宋体" w:eastAsia="宋体" w:cs="宋体"/>
                <w:color w:val="auto"/>
                <w:spacing w:val="-3"/>
                <w:sz w:val="21"/>
                <w:szCs w:val="21"/>
                <w:highlight w:val="none"/>
              </w:rPr>
              <w:t>3 当燃气管道压力与表中数不相同时，可采用直线方程内插法确定水平净距。</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6.4.13 高压地下燃气管道与构筑物或相邻管道之间的水平和垂直净距，不应小于表6.3.3-1和6.3.3</w:t>
            </w:r>
            <w:r>
              <w:rPr>
                <w:rFonts w:hint="eastAsia" w:ascii="宋体" w:hAnsi="宋体" w:eastAsia="宋体" w:cs="宋体"/>
                <w:color w:val="auto"/>
                <w:spacing w:val="7"/>
                <w:sz w:val="21"/>
                <w:szCs w:val="21"/>
                <w:highlight w:val="none"/>
                <w:lang w:eastAsia="zh-CN"/>
              </w:rPr>
              <w:t>—</w:t>
            </w:r>
            <w:r>
              <w:rPr>
                <w:rFonts w:hint="eastAsia" w:ascii="宋体" w:hAnsi="宋体" w:eastAsia="宋体" w:cs="宋体"/>
                <w:color w:val="auto"/>
                <w:spacing w:val="7"/>
                <w:sz w:val="21"/>
                <w:szCs w:val="21"/>
                <w:highlight w:val="none"/>
              </w:rPr>
              <w:t>2次高压A的规定。但高压A和高压B地下燃气管道与铁路路堤坡脚的水平净距分别不应小于8m和6m；与有轨电车钢轨的水平净距分别不应小于4m和3m。</w:t>
            </w:r>
          </w:p>
          <w:p>
            <w:pPr>
              <w:keepNext w:val="0"/>
              <w:keepLines w:val="0"/>
              <w:pageBreakBefore w:val="0"/>
              <w:kinsoku/>
              <w:wordWrap/>
              <w:overflowPunct/>
              <w:topLinePunct w:val="0"/>
              <w:autoSpaceDE/>
              <w:autoSpaceDN/>
              <w:bidi w:val="0"/>
              <w:spacing w:line="260" w:lineRule="atLeast"/>
              <w:ind w:left="0" w:firstLine="224" w:firstLineChars="100"/>
              <w:jc w:val="left"/>
              <w:rPr>
                <w:rFonts w:hint="eastAsia" w:ascii="宋体" w:hAnsi="宋体" w:eastAsia="宋体" w:cs="宋体"/>
                <w:color w:val="auto"/>
                <w:spacing w:val="7"/>
                <w:sz w:val="21"/>
                <w:szCs w:val="21"/>
                <w:highlight w:val="none"/>
              </w:rPr>
            </w:pPr>
            <w:r>
              <w:rPr>
                <w:rFonts w:hint="eastAsia" w:ascii="宋体" w:hAnsi="宋体" w:eastAsia="宋体" w:cs="宋体"/>
                <w:color w:val="auto"/>
                <w:spacing w:val="7"/>
                <w:sz w:val="21"/>
                <w:szCs w:val="21"/>
                <w:highlight w:val="none"/>
              </w:rPr>
              <w:t>注：当达不到本条净距要求时，采取有效的防护措施后，净距可适当缩小。</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6.3.4 地下燃气管道埋设的最小覆土厚度</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路面至管顶</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 xml:space="preserve">应符合下列要求：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1 埋设在机动车道下时，不得小</w:t>
            </w:r>
            <w:r>
              <w:rPr>
                <w:rFonts w:hint="eastAsia" w:ascii="宋体" w:hAnsi="宋体" w:eastAsia="宋体" w:cs="宋体"/>
                <w:color w:val="auto"/>
                <w:kern w:val="0"/>
                <w:sz w:val="21"/>
                <w:szCs w:val="21"/>
                <w:highlight w:val="none"/>
                <w:lang w:eastAsia="zh-CN" w:bidi="ar"/>
              </w:rPr>
              <w:t>于</w:t>
            </w:r>
            <w:r>
              <w:rPr>
                <w:rFonts w:hint="eastAsia" w:ascii="宋体" w:hAnsi="宋体" w:eastAsia="宋体" w:cs="宋体"/>
                <w:color w:val="auto"/>
                <w:kern w:val="0"/>
                <w:sz w:val="21"/>
                <w:szCs w:val="21"/>
                <w:highlight w:val="none"/>
                <w:lang w:bidi="ar"/>
              </w:rPr>
              <w:t>O.9m；</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2 埋设在非机动车车道</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含人行道</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下时，不得小于</w:t>
            </w:r>
            <w:r>
              <w:rPr>
                <w:rFonts w:hint="eastAsia" w:ascii="宋体" w:hAnsi="宋体" w:eastAsia="宋体" w:cs="宋体"/>
                <w:color w:val="auto"/>
                <w:kern w:val="0"/>
                <w:sz w:val="21"/>
                <w:szCs w:val="21"/>
                <w:highlight w:val="none"/>
                <w:lang w:val="en-US" w:eastAsia="zh-CN" w:bidi="ar"/>
              </w:rPr>
              <w:t>0.6</w:t>
            </w:r>
            <w:r>
              <w:rPr>
                <w:rFonts w:hint="eastAsia" w:ascii="宋体" w:hAnsi="宋体" w:eastAsia="宋体" w:cs="宋体"/>
                <w:color w:val="auto"/>
                <w:kern w:val="0"/>
                <w:sz w:val="21"/>
                <w:szCs w:val="21"/>
                <w:highlight w:val="none"/>
                <w:lang w:bidi="ar"/>
              </w:rPr>
              <w:t xml:space="preserve">m；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3 埋设在机动车不可能到达的地方时，不得小于</w:t>
            </w:r>
            <w:r>
              <w:rPr>
                <w:rFonts w:hint="eastAsia" w:ascii="宋体" w:hAnsi="宋体" w:eastAsia="宋体" w:cs="宋体"/>
                <w:color w:val="auto"/>
                <w:kern w:val="0"/>
                <w:sz w:val="21"/>
                <w:szCs w:val="21"/>
                <w:highlight w:val="none"/>
                <w:lang w:val="en-US" w:eastAsia="zh-CN" w:bidi="ar"/>
              </w:rPr>
              <w:t>0.3</w:t>
            </w:r>
            <w:r>
              <w:rPr>
                <w:rFonts w:hint="eastAsia" w:ascii="宋体" w:hAnsi="宋体" w:eastAsia="宋体" w:cs="宋体"/>
                <w:color w:val="auto"/>
                <w:kern w:val="0"/>
                <w:sz w:val="21"/>
                <w:szCs w:val="21"/>
                <w:highlight w:val="none"/>
                <w:lang w:bidi="ar"/>
              </w:rPr>
              <w:t xml:space="preserve">m；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4 埋设在水田下时，不得小于</w:t>
            </w:r>
            <w:r>
              <w:rPr>
                <w:rFonts w:hint="eastAsia" w:ascii="宋体" w:hAnsi="宋体" w:eastAsia="宋体" w:cs="宋体"/>
                <w:color w:val="auto"/>
                <w:kern w:val="0"/>
                <w:sz w:val="21"/>
                <w:szCs w:val="21"/>
                <w:highlight w:val="none"/>
                <w:lang w:val="en-US" w:eastAsia="zh-CN" w:bidi="ar"/>
              </w:rPr>
              <w:t>0.8</w:t>
            </w:r>
            <w:r>
              <w:rPr>
                <w:rFonts w:hint="eastAsia" w:ascii="宋体" w:hAnsi="宋体" w:eastAsia="宋体" w:cs="宋体"/>
                <w:color w:val="auto"/>
                <w:kern w:val="0"/>
                <w:sz w:val="21"/>
                <w:szCs w:val="21"/>
                <w:highlight w:val="none"/>
                <w:lang w:bidi="ar"/>
              </w:rPr>
              <w:t xml:space="preserve">m。 </w:t>
            </w:r>
          </w:p>
          <w:p>
            <w:pPr>
              <w:keepNext w:val="0"/>
              <w:keepLines w:val="0"/>
              <w:pageBreakBefore w:val="0"/>
              <w:kinsoku/>
              <w:wordWrap/>
              <w:overflowPunct/>
              <w:topLinePunct w:val="0"/>
              <w:autoSpaceDE/>
              <w:autoSpaceDN/>
              <w:bidi w:val="0"/>
              <w:adjustRightInd w:val="0"/>
              <w:spacing w:line="260" w:lineRule="atLeast"/>
              <w:ind w:left="0" w:firstLine="210" w:firstLineChars="100"/>
              <w:jc w:val="left"/>
              <w:rPr>
                <w:rFonts w:hint="eastAsia" w:ascii="宋体" w:hAnsi="宋体" w:eastAsia="宋体" w:cs="宋体"/>
                <w:b/>
                <w:bCs/>
                <w:color w:val="auto"/>
                <w:sz w:val="21"/>
                <w:szCs w:val="21"/>
                <w:highlight w:val="none"/>
              </w:rPr>
            </w:pPr>
            <w:r>
              <w:rPr>
                <w:rFonts w:hint="eastAsia" w:ascii="宋体" w:hAnsi="宋体" w:eastAsia="宋体" w:cs="宋体"/>
                <w:color w:val="auto"/>
                <w:kern w:val="0"/>
                <w:sz w:val="21"/>
                <w:szCs w:val="21"/>
                <w:highlight w:val="none"/>
                <w:lang w:bidi="ar"/>
              </w:rPr>
              <w:t>注：当不能满足上述规定时，应采取有效的安全防护措施。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《聚乙烯燃气管道工程技术标准》CJJ63-2018</w:t>
            </w:r>
          </w:p>
        </w:tc>
        <w:tc>
          <w:tcPr>
            <w:tcW w:w="11060" w:type="dxa"/>
            <w:vAlign w:val="center"/>
          </w:tcPr>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4.3.</w:t>
            </w: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聚乙烯燃气管道不得从建筑物或大型构筑物的下面穿越（不包括架空的建筑物和立交桥、城市轨道交通的高架桥等大型构筑物）；不得在堆积易燃、易爆材料和具有腐蚀性液体的场地下面穿越；不得与非燃气管道或电缆同沟敷设。</w:t>
            </w:r>
          </w:p>
          <w:p>
            <w:pPr>
              <w:pStyle w:val="115"/>
              <w:keepNext w:val="0"/>
              <w:keepLines w:val="0"/>
              <w:pageBreakBefore w:val="0"/>
              <w:tabs>
                <w:tab w:val="left" w:pos="285"/>
              </w:tabs>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4.3.2 </w:t>
            </w:r>
            <w:r>
              <w:rPr>
                <w:rFonts w:hint="eastAsia" w:ascii="宋体" w:hAnsi="宋体" w:eastAsia="宋体" w:cs="宋体"/>
                <w:color w:val="auto"/>
                <w:sz w:val="21"/>
                <w:szCs w:val="21"/>
                <w:highlight w:val="none"/>
              </w:rPr>
              <w:t>聚乙烯燃气管道与市政热力管道之间的水平净距和垂直净距，不应小于表</w:t>
            </w:r>
            <w:r>
              <w:rPr>
                <w:rFonts w:hint="eastAsia" w:ascii="宋体" w:hAnsi="宋体" w:eastAsia="宋体" w:cs="宋体"/>
                <w:color w:val="auto"/>
                <w:sz w:val="21"/>
                <w:szCs w:val="21"/>
                <w:highlight w:val="none"/>
                <w:lang w:val="en-US" w:eastAsia="zh-CN" w:bidi="en-US"/>
              </w:rPr>
              <w:t>4.3.2-1</w:t>
            </w:r>
            <w:r>
              <w:rPr>
                <w:rFonts w:hint="eastAsia" w:ascii="宋体" w:hAnsi="宋体" w:eastAsia="宋体" w:cs="宋体"/>
                <w:color w:val="auto"/>
                <w:sz w:val="21"/>
                <w:szCs w:val="21"/>
                <w:highlight w:val="none"/>
              </w:rPr>
              <w:t>和表4</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lang w:val="en-US" w:eastAsia="zh-CN" w:bidi="en-US"/>
              </w:rPr>
              <w:t>3.2-2</w:t>
            </w:r>
            <w:r>
              <w:rPr>
                <w:rFonts w:hint="eastAsia" w:ascii="宋体" w:hAnsi="宋体" w:eastAsia="宋体" w:cs="宋体"/>
                <w:color w:val="auto"/>
                <w:sz w:val="21"/>
                <w:szCs w:val="21"/>
                <w:highlight w:val="none"/>
              </w:rPr>
              <w:t>的规定，并应保证燃气管道外壁温度不大于</w:t>
            </w:r>
            <w:r>
              <w:rPr>
                <w:rFonts w:hint="eastAsia" w:ascii="宋体" w:hAnsi="宋体" w:eastAsia="宋体" w:cs="宋体"/>
                <w:color w:val="auto"/>
                <w:sz w:val="21"/>
                <w:szCs w:val="21"/>
                <w:highlight w:val="none"/>
                <w:lang w:val="en-US" w:eastAsia="zh-CN" w:bidi="en-US"/>
              </w:rPr>
              <w:t>40℃；</w:t>
            </w:r>
            <w:r>
              <w:rPr>
                <w:rFonts w:hint="eastAsia" w:ascii="宋体" w:hAnsi="宋体" w:eastAsia="宋体" w:cs="宋体"/>
                <w:color w:val="auto"/>
                <w:sz w:val="21"/>
                <w:szCs w:val="21"/>
                <w:highlight w:val="none"/>
              </w:rPr>
              <w:t>与建筑物、构筑物或其他相邻管道之间的水平净距和垂直净距，应符合现行国家标准《城镇燃气设计规范》</w:t>
            </w:r>
            <w:r>
              <w:rPr>
                <w:rFonts w:hint="eastAsia" w:ascii="宋体" w:hAnsi="宋体" w:eastAsia="宋体" w:cs="宋体"/>
                <w:color w:val="auto"/>
                <w:sz w:val="21"/>
                <w:szCs w:val="21"/>
                <w:highlight w:val="none"/>
                <w:lang w:val="en-US" w:eastAsia="zh-CN" w:bidi="en-US"/>
              </w:rPr>
              <w:t>GB</w:t>
            </w:r>
            <w:r>
              <w:rPr>
                <w:rFonts w:hint="eastAsia" w:ascii="宋体" w:hAnsi="宋体" w:eastAsia="宋体" w:cs="宋体"/>
                <w:color w:val="auto"/>
                <w:sz w:val="21"/>
                <w:szCs w:val="21"/>
                <w:highlight w:val="none"/>
              </w:rPr>
              <w:t>50028的有关规定。当直埋蒸汽热力管道保温层外壁温度不大于</w:t>
            </w:r>
            <w:r>
              <w:rPr>
                <w:rFonts w:hint="eastAsia" w:ascii="宋体" w:hAnsi="宋体" w:eastAsia="宋体" w:cs="宋体"/>
                <w:color w:val="auto"/>
                <w:sz w:val="21"/>
                <w:szCs w:val="21"/>
                <w:highlight w:val="none"/>
                <w:lang w:val="en-US" w:eastAsia="zh-CN" w:bidi="en-US"/>
              </w:rPr>
              <w:t>60℃</w:t>
            </w:r>
            <w:r>
              <w:rPr>
                <w:rFonts w:hint="eastAsia" w:ascii="宋体" w:hAnsi="宋体" w:eastAsia="宋体" w:cs="宋体"/>
                <w:color w:val="auto"/>
                <w:sz w:val="21"/>
                <w:szCs w:val="21"/>
                <w:highlight w:val="none"/>
              </w:rPr>
              <w:t>时，聚乙烯管道采取有效的隔热措施，表</w:t>
            </w:r>
            <w:r>
              <w:rPr>
                <w:rFonts w:hint="eastAsia" w:ascii="宋体" w:hAnsi="宋体" w:eastAsia="宋体" w:cs="宋体"/>
                <w:color w:val="auto"/>
                <w:sz w:val="21"/>
                <w:szCs w:val="21"/>
                <w:highlight w:val="none"/>
                <w:lang w:val="en-US" w:eastAsia="zh-CN" w:bidi="en-US"/>
              </w:rPr>
              <w:t>4.3.2-1</w:t>
            </w:r>
            <w:r>
              <w:rPr>
                <w:rFonts w:hint="eastAsia" w:ascii="宋体" w:hAnsi="宋体" w:eastAsia="宋体" w:cs="宋体"/>
                <w:color w:val="auto"/>
                <w:sz w:val="21"/>
                <w:szCs w:val="21"/>
                <w:highlight w:val="none"/>
              </w:rPr>
              <w:t>中水平</w:t>
            </w:r>
            <w:r>
              <w:rPr>
                <w:rFonts w:hint="eastAsia" w:ascii="宋体" w:hAnsi="宋体" w:eastAsia="宋体" w:cs="宋体"/>
                <w:color w:val="auto"/>
                <w:sz w:val="21"/>
                <w:szCs w:val="21"/>
                <w:highlight w:val="none"/>
                <w:lang w:eastAsia="zh-CN"/>
              </w:rPr>
              <w:t>净</w:t>
            </w:r>
            <w:r>
              <w:rPr>
                <w:rFonts w:hint="eastAsia" w:ascii="宋体" w:hAnsi="宋体" w:eastAsia="宋体" w:cs="宋体"/>
                <w:color w:val="auto"/>
                <w:sz w:val="21"/>
                <w:szCs w:val="21"/>
                <w:highlight w:val="none"/>
              </w:rPr>
              <w:t>距可减少50%。</w:t>
            </w:r>
          </w:p>
          <w:p>
            <w:pPr>
              <w:pStyle w:val="122"/>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b w:val="0"/>
                <w:bCs w:val="0"/>
                <w:i w:val="0"/>
                <w:iCs w:val="0"/>
                <w:color w:val="auto"/>
                <w:sz w:val="21"/>
                <w:szCs w:val="21"/>
                <w:highlight w:val="none"/>
              </w:rPr>
            </w:pPr>
            <w:r>
              <w:rPr>
                <w:rFonts w:hint="eastAsia" w:ascii="宋体" w:hAnsi="宋体" w:eastAsia="宋体" w:cs="宋体"/>
                <w:b w:val="0"/>
                <w:bCs w:val="0"/>
                <w:i w:val="0"/>
                <w:iCs w:val="0"/>
                <w:color w:val="auto"/>
                <w:sz w:val="21"/>
                <w:szCs w:val="21"/>
                <w:highlight w:val="none"/>
              </w:rPr>
              <w:t>表</w:t>
            </w:r>
            <w:r>
              <w:rPr>
                <w:rFonts w:hint="eastAsia" w:ascii="宋体" w:hAnsi="宋体" w:eastAsia="宋体" w:cs="宋体"/>
                <w:b w:val="0"/>
                <w:bCs w:val="0"/>
                <w:i w:val="0"/>
                <w:iCs w:val="0"/>
                <w:color w:val="auto"/>
                <w:sz w:val="21"/>
                <w:szCs w:val="21"/>
                <w:highlight w:val="none"/>
                <w:lang w:val="en-US" w:eastAsia="zh-CN" w:bidi="en-US"/>
              </w:rPr>
              <w:t xml:space="preserve">4.3.2-1 </w:t>
            </w:r>
            <w:r>
              <w:rPr>
                <w:rFonts w:hint="eastAsia" w:ascii="宋体" w:hAnsi="宋体" w:eastAsia="宋体" w:cs="宋体"/>
                <w:b w:val="0"/>
                <w:bCs w:val="0"/>
                <w:i w:val="0"/>
                <w:iCs w:val="0"/>
                <w:color w:val="auto"/>
                <w:sz w:val="21"/>
                <w:szCs w:val="21"/>
                <w:highlight w:val="none"/>
                <w:lang w:val="zh-CN" w:eastAsia="zh-CN" w:bidi="zh-CN"/>
              </w:rPr>
              <w:t>聚乙烯</w:t>
            </w:r>
            <w:r>
              <w:rPr>
                <w:rFonts w:hint="eastAsia" w:ascii="宋体" w:hAnsi="宋体" w:eastAsia="宋体" w:cs="宋体"/>
                <w:b w:val="0"/>
                <w:bCs w:val="0"/>
                <w:i w:val="0"/>
                <w:iCs w:val="0"/>
                <w:color w:val="auto"/>
                <w:sz w:val="21"/>
                <w:szCs w:val="21"/>
                <w:highlight w:val="none"/>
              </w:rPr>
              <w:t>燃气管道与市政热力管道之间的水平净距</w:t>
            </w:r>
          </w:p>
          <w:tbl>
            <w:tblPr>
              <w:tblStyle w:val="20"/>
              <w:tblW w:w="4999" w:type="pct"/>
              <w:jc w:val="center"/>
              <w:tblLayout w:type="autofit"/>
              <w:tblCellMar>
                <w:top w:w="0" w:type="dxa"/>
                <w:left w:w="10" w:type="dxa"/>
                <w:bottom w:w="0" w:type="dxa"/>
                <w:right w:w="10" w:type="dxa"/>
              </w:tblCellMar>
            </w:tblPr>
            <w:tblGrid>
              <w:gridCol w:w="1286"/>
              <w:gridCol w:w="2687"/>
              <w:gridCol w:w="1581"/>
              <w:gridCol w:w="891"/>
              <w:gridCol w:w="1394"/>
              <w:gridCol w:w="1379"/>
              <w:gridCol w:w="1624"/>
            </w:tblGrid>
            <w:tr>
              <w:tblPrEx>
                <w:tblCellMar>
                  <w:top w:w="0" w:type="dxa"/>
                  <w:left w:w="10" w:type="dxa"/>
                  <w:bottom w:w="0" w:type="dxa"/>
                  <w:right w:w="10" w:type="dxa"/>
                </w:tblCellMar>
              </w:tblPrEx>
              <w:trPr>
                <w:trHeight w:val="328" w:hRule="exact"/>
                <w:jc w:val="center"/>
              </w:trPr>
              <w:tc>
                <w:tcPr>
                  <w:tcW w:w="2561" w:type="pct"/>
                  <w:gridSpan w:val="3"/>
                  <w:vMerge w:val="restar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zh-CN" w:eastAsia="zh-CN" w:bidi="zh-CN"/>
                    </w:rPr>
                    <w:t>项目</w:t>
                  </w:r>
                </w:p>
              </w:tc>
              <w:tc>
                <w:tcPr>
                  <w:tcW w:w="2438" w:type="pct"/>
                  <w:gridSpan w:val="4"/>
                  <w:tcBorders>
                    <w:top w:val="single" w:color="auto" w:sz="4" w:space="0"/>
                    <w:left w:val="single" w:color="auto" w:sz="4" w:space="0"/>
                    <w:right w:val="single" w:color="auto" w:sz="4" w:space="0"/>
                  </w:tcBorders>
                  <w:shd w:val="clear" w:color="auto" w:fill="FFFFFF"/>
                  <w:vAlign w:val="bottom"/>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zh-CN" w:eastAsia="zh-CN" w:bidi="zh-CN"/>
                    </w:rPr>
                    <w:t>地下燃气管道</w:t>
                  </w:r>
                  <w:r>
                    <w:rPr>
                      <w:rFonts w:hint="eastAsia" w:ascii="宋体" w:hAnsi="宋体" w:eastAsia="宋体" w:cs="宋体"/>
                      <w:color w:val="auto"/>
                      <w:sz w:val="21"/>
                      <w:szCs w:val="21"/>
                      <w:highlight w:val="none"/>
                      <w:lang w:val="en-US" w:eastAsia="en-US" w:bidi="zh-CN"/>
                    </w:rPr>
                    <w:t>（m）</w:t>
                  </w:r>
                </w:p>
              </w:tc>
            </w:tr>
            <w:tr>
              <w:tblPrEx>
                <w:tblCellMar>
                  <w:top w:w="0" w:type="dxa"/>
                  <w:left w:w="10" w:type="dxa"/>
                  <w:bottom w:w="0" w:type="dxa"/>
                  <w:right w:w="10" w:type="dxa"/>
                </w:tblCellMar>
              </w:tblPrEx>
              <w:trPr>
                <w:trHeight w:val="291" w:hRule="exact"/>
                <w:jc w:val="center"/>
              </w:trPr>
              <w:tc>
                <w:tcPr>
                  <w:tcW w:w="2561" w:type="pct"/>
                  <w:gridSpan w:val="3"/>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p>
              </w:tc>
              <w:tc>
                <w:tcPr>
                  <w:tcW w:w="411" w:type="pct"/>
                  <w:vMerge w:val="restar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zh-CN" w:eastAsia="zh-CN" w:bidi="zh-CN"/>
                    </w:rPr>
                    <w:t>低压</w:t>
                  </w:r>
                </w:p>
              </w:tc>
              <w:tc>
                <w:tcPr>
                  <w:tcW w:w="1279" w:type="pct"/>
                  <w:gridSpan w:val="2"/>
                  <w:tcBorders>
                    <w:top w:val="single" w:color="auto" w:sz="4" w:space="0"/>
                    <w:lef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zh-CN" w:eastAsia="zh-CN" w:bidi="zh-CN"/>
                    </w:rPr>
                    <w:t>中压</w:t>
                  </w:r>
                </w:p>
              </w:tc>
              <w:tc>
                <w:tcPr>
                  <w:tcW w:w="747" w:type="pct"/>
                  <w:tcBorders>
                    <w:top w:val="single" w:color="auto" w:sz="4" w:space="0"/>
                    <w:left w:val="single" w:color="auto" w:sz="4" w:space="0"/>
                    <w:righ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zh-CN" w:eastAsia="zh-CN" w:bidi="zh-CN"/>
                    </w:rPr>
                    <w:t>次高压</w:t>
                  </w:r>
                </w:p>
              </w:tc>
            </w:tr>
            <w:tr>
              <w:tblPrEx>
                <w:tblCellMar>
                  <w:top w:w="0" w:type="dxa"/>
                  <w:left w:w="10" w:type="dxa"/>
                  <w:bottom w:w="0" w:type="dxa"/>
                  <w:right w:w="10" w:type="dxa"/>
                </w:tblCellMar>
              </w:tblPrEx>
              <w:trPr>
                <w:trHeight w:val="305" w:hRule="exact"/>
                <w:jc w:val="center"/>
              </w:trPr>
              <w:tc>
                <w:tcPr>
                  <w:tcW w:w="2561" w:type="pct"/>
                  <w:gridSpan w:val="3"/>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p>
              </w:tc>
              <w:tc>
                <w:tcPr>
                  <w:tcW w:w="411" w:type="pct"/>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p>
              </w:tc>
              <w:tc>
                <w:tcPr>
                  <w:tcW w:w="643" w:type="pct"/>
                  <w:tcBorders>
                    <w:top w:val="single" w:color="auto" w:sz="4" w:space="0"/>
                    <w:lef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en-US" w:eastAsia="en-US" w:bidi="zh-CN"/>
                    </w:rPr>
                    <w:t>B</w:t>
                  </w:r>
                </w:p>
              </w:tc>
              <w:tc>
                <w:tcPr>
                  <w:tcW w:w="635" w:type="pct"/>
                  <w:tcBorders>
                    <w:top w:val="single" w:color="auto" w:sz="4" w:space="0"/>
                    <w:lef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en-US" w:eastAsia="en-US" w:bidi="zh-CN"/>
                    </w:rPr>
                    <w:t>A</w:t>
                  </w:r>
                </w:p>
              </w:tc>
              <w:tc>
                <w:tcPr>
                  <w:tcW w:w="747" w:type="pct"/>
                  <w:tcBorders>
                    <w:top w:val="single" w:color="auto" w:sz="4" w:space="0"/>
                    <w:left w:val="single" w:color="auto" w:sz="4" w:space="0"/>
                    <w:righ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en-US" w:eastAsia="en-US" w:bidi="zh-CN"/>
                    </w:rPr>
                    <w:t>B</w:t>
                  </w:r>
                </w:p>
              </w:tc>
            </w:tr>
            <w:tr>
              <w:tblPrEx>
                <w:tblCellMar>
                  <w:top w:w="0" w:type="dxa"/>
                  <w:left w:w="10" w:type="dxa"/>
                  <w:bottom w:w="0" w:type="dxa"/>
                  <w:right w:w="10" w:type="dxa"/>
                </w:tblCellMar>
              </w:tblPrEx>
              <w:trPr>
                <w:trHeight w:val="309" w:hRule="exact"/>
                <w:jc w:val="center"/>
              </w:trPr>
              <w:tc>
                <w:tcPr>
                  <w:tcW w:w="593" w:type="pct"/>
                  <w:vMerge w:val="restar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zh-CN" w:eastAsia="zh-CN" w:bidi="zh-CN"/>
                    </w:rPr>
                    <w:t>热力管</w:t>
                  </w:r>
                </w:p>
              </w:tc>
              <w:tc>
                <w:tcPr>
                  <w:tcW w:w="1239" w:type="pct"/>
                  <w:vMerge w:val="restar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zh-CN" w:eastAsia="zh-CN" w:bidi="zh-CN"/>
                    </w:rPr>
                    <w:t>直理敷设</w:t>
                  </w:r>
                </w:p>
              </w:tc>
              <w:tc>
                <w:tcPr>
                  <w:tcW w:w="728" w:type="pct"/>
                  <w:tcBorders>
                    <w:top w:val="single" w:color="auto" w:sz="4" w:space="0"/>
                    <w:lef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zh-CN" w:eastAsia="zh-CN" w:bidi="zh-CN"/>
                    </w:rPr>
                    <w:t>热水</w:t>
                  </w:r>
                </w:p>
              </w:tc>
              <w:tc>
                <w:tcPr>
                  <w:tcW w:w="411" w:type="pct"/>
                  <w:tcBorders>
                    <w:top w:val="single" w:color="auto" w:sz="4" w:space="0"/>
                    <w:lef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en-US" w:eastAsia="en-US" w:bidi="zh-CN"/>
                    </w:rPr>
                    <w:t>1.0</w:t>
                  </w:r>
                </w:p>
              </w:tc>
              <w:tc>
                <w:tcPr>
                  <w:tcW w:w="643" w:type="pct"/>
                  <w:tcBorders>
                    <w:top w:val="single" w:color="auto" w:sz="4" w:space="0"/>
                    <w:lef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26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en-US" w:eastAsia="en-US" w:bidi="zh-CN"/>
                    </w:rPr>
                    <w:t>1.0</w:t>
                  </w:r>
                </w:p>
              </w:tc>
              <w:tc>
                <w:tcPr>
                  <w:tcW w:w="635" w:type="pct"/>
                  <w:tcBorders>
                    <w:top w:val="single" w:color="auto" w:sz="4" w:space="0"/>
                    <w:lef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26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en-US" w:eastAsia="en-US" w:bidi="zh-CN"/>
                    </w:rPr>
                    <w:t>1.0</w:t>
                  </w:r>
                </w:p>
              </w:tc>
              <w:tc>
                <w:tcPr>
                  <w:tcW w:w="747" w:type="pct"/>
                  <w:tcBorders>
                    <w:top w:val="single" w:color="auto" w:sz="4" w:space="0"/>
                    <w:left w:val="single" w:color="auto" w:sz="4" w:space="0"/>
                    <w:righ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en-US" w:eastAsia="en-US" w:bidi="zh-CN"/>
                    </w:rPr>
                    <w:t>1.5</w:t>
                  </w:r>
                </w:p>
              </w:tc>
            </w:tr>
            <w:tr>
              <w:tblPrEx>
                <w:tblCellMar>
                  <w:top w:w="0" w:type="dxa"/>
                  <w:left w:w="10" w:type="dxa"/>
                  <w:bottom w:w="0" w:type="dxa"/>
                  <w:right w:w="10" w:type="dxa"/>
                </w:tblCellMar>
              </w:tblPrEx>
              <w:trPr>
                <w:trHeight w:val="324" w:hRule="exact"/>
                <w:jc w:val="center"/>
              </w:trPr>
              <w:tc>
                <w:tcPr>
                  <w:tcW w:w="593" w:type="pct"/>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p>
              </w:tc>
              <w:tc>
                <w:tcPr>
                  <w:tcW w:w="1239" w:type="pct"/>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p>
              </w:tc>
              <w:tc>
                <w:tcPr>
                  <w:tcW w:w="728" w:type="pct"/>
                  <w:tcBorders>
                    <w:top w:val="single" w:color="auto" w:sz="4" w:space="0"/>
                    <w:left w:val="single" w:color="auto" w:sz="4" w:space="0"/>
                  </w:tcBorders>
                  <w:shd w:val="clear" w:color="auto" w:fill="FFFFFF"/>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r>
                    <w:rPr>
                      <w:rFonts w:hint="eastAsia" w:ascii="宋体" w:hAnsi="宋体" w:eastAsia="宋体" w:cs="宋体"/>
                      <w:color w:val="auto"/>
                      <w:sz w:val="21"/>
                      <w:szCs w:val="21"/>
                      <w:highlight w:val="none"/>
                      <w:lang w:val="zh-CN" w:bidi="zh-CN"/>
                    </w:rPr>
                    <w:t>蒸汽</w:t>
                  </w:r>
                </w:p>
              </w:tc>
              <w:tc>
                <w:tcPr>
                  <w:tcW w:w="411" w:type="pct"/>
                  <w:tcBorders>
                    <w:top w:val="single" w:color="auto" w:sz="4" w:space="0"/>
                    <w:lef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en-US" w:eastAsia="en-US" w:bidi="zh-CN"/>
                    </w:rPr>
                    <w:t>2.0</w:t>
                  </w:r>
                </w:p>
              </w:tc>
              <w:tc>
                <w:tcPr>
                  <w:tcW w:w="643" w:type="pct"/>
                  <w:tcBorders>
                    <w:top w:val="single" w:color="auto" w:sz="4" w:space="0"/>
                    <w:lef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26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en-US" w:eastAsia="en-US" w:bidi="zh-CN"/>
                    </w:rPr>
                    <w:t>2.0</w:t>
                  </w:r>
                </w:p>
              </w:tc>
              <w:tc>
                <w:tcPr>
                  <w:tcW w:w="635" w:type="pct"/>
                  <w:tcBorders>
                    <w:top w:val="single" w:color="auto" w:sz="4" w:space="0"/>
                    <w:lef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26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en-US" w:eastAsia="en-US" w:bidi="zh-CN"/>
                    </w:rPr>
                    <w:t>2.0</w:t>
                  </w:r>
                </w:p>
              </w:tc>
              <w:tc>
                <w:tcPr>
                  <w:tcW w:w="747" w:type="pct"/>
                  <w:tcBorders>
                    <w:top w:val="single" w:color="auto" w:sz="4" w:space="0"/>
                    <w:left w:val="single" w:color="auto" w:sz="4" w:space="0"/>
                    <w:righ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en-US" w:eastAsia="en-US" w:bidi="zh-CN"/>
                    </w:rPr>
                    <w:t>3</w:t>
                  </w:r>
                  <w:r>
                    <w:rPr>
                      <w:rFonts w:hint="eastAsia" w:ascii="宋体" w:hAnsi="宋体" w:eastAsia="宋体" w:cs="宋体"/>
                      <w:color w:val="auto"/>
                      <w:sz w:val="21"/>
                      <w:szCs w:val="21"/>
                      <w:highlight w:val="none"/>
                      <w:lang w:val="en-US" w:eastAsia="en-US" w:bidi="zh-CN"/>
                    </w:rPr>
                    <w:t>.</w:t>
                  </w:r>
                  <w:r>
                    <w:rPr>
                      <w:rFonts w:hint="eastAsia" w:ascii="宋体" w:hAnsi="宋体" w:eastAsia="宋体" w:cs="宋体"/>
                      <w:color w:val="auto"/>
                      <w:sz w:val="21"/>
                      <w:szCs w:val="21"/>
                      <w:highlight w:val="none"/>
                      <w:lang w:val="zh-CN" w:eastAsia="zh-CN" w:bidi="zh-CN"/>
                    </w:rPr>
                    <w:t>0</w:t>
                  </w:r>
                </w:p>
              </w:tc>
            </w:tr>
            <w:tr>
              <w:tblPrEx>
                <w:tblCellMar>
                  <w:top w:w="0" w:type="dxa"/>
                  <w:left w:w="10" w:type="dxa"/>
                  <w:bottom w:w="0" w:type="dxa"/>
                  <w:right w:w="10" w:type="dxa"/>
                </w:tblCellMar>
              </w:tblPrEx>
              <w:trPr>
                <w:trHeight w:val="365" w:hRule="exact"/>
                <w:jc w:val="center"/>
              </w:trPr>
              <w:tc>
                <w:tcPr>
                  <w:tcW w:w="593" w:type="pct"/>
                  <w:vMerge w:val="continue"/>
                  <w:tcBorders>
                    <w:left w:val="single" w:color="auto" w:sz="4" w:space="0"/>
                    <w:bottom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CN" w:bidi="zh-CN"/>
                    </w:rPr>
                  </w:pPr>
                </w:p>
              </w:tc>
              <w:tc>
                <w:tcPr>
                  <w:tcW w:w="1967" w:type="pct"/>
                  <w:gridSpan w:val="2"/>
                  <w:tcBorders>
                    <w:top w:val="single" w:color="auto" w:sz="4" w:space="0"/>
                    <w:left w:val="single" w:color="auto" w:sz="4" w:space="0"/>
                    <w:bottom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zh-CN" w:eastAsia="zh-CN" w:bidi="zh-CN"/>
                    </w:rPr>
                    <w:t>管沟内敷设（至管沟外壁）</w:t>
                  </w:r>
                </w:p>
              </w:tc>
              <w:tc>
                <w:tcPr>
                  <w:tcW w:w="411" w:type="pct"/>
                  <w:tcBorders>
                    <w:top w:val="single" w:color="auto" w:sz="4" w:space="0"/>
                    <w:left w:val="single" w:color="auto" w:sz="4" w:space="0"/>
                    <w:bottom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en-US" w:eastAsia="zh-CN" w:bidi="zh-CN"/>
                    </w:rPr>
                    <w:t>1.0</w:t>
                  </w:r>
                </w:p>
              </w:tc>
              <w:tc>
                <w:tcPr>
                  <w:tcW w:w="643" w:type="pct"/>
                  <w:tcBorders>
                    <w:top w:val="single" w:color="auto" w:sz="4" w:space="0"/>
                    <w:left w:val="single" w:color="auto" w:sz="4" w:space="0"/>
                    <w:bottom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26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en-US" w:eastAsia="zh-CN" w:bidi="zh-CN"/>
                    </w:rPr>
                    <w:t>1.5</w:t>
                  </w:r>
                </w:p>
              </w:tc>
              <w:tc>
                <w:tcPr>
                  <w:tcW w:w="635" w:type="pct"/>
                  <w:tcBorders>
                    <w:top w:val="single" w:color="auto" w:sz="4" w:space="0"/>
                    <w:left w:val="single" w:color="auto" w:sz="4" w:space="0"/>
                    <w:bottom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26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zh-CN" w:eastAsia="zh-CN" w:bidi="zh-CN"/>
                    </w:rPr>
                    <w:t>1.5</w:t>
                  </w:r>
                </w:p>
              </w:tc>
              <w:tc>
                <w:tcPr>
                  <w:tcW w:w="747" w:type="pct"/>
                  <w:tcBorders>
                    <w:top w:val="single" w:color="auto" w:sz="4" w:space="0"/>
                    <w:left w:val="single" w:color="auto" w:sz="4" w:space="0"/>
                    <w:bottom w:val="single" w:color="auto" w:sz="4" w:space="0"/>
                    <w:right w:val="single" w:color="auto" w:sz="4" w:space="0"/>
                  </w:tcBorders>
                  <w:shd w:val="clear" w:color="auto" w:fill="FFFFFF"/>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lang w:val="en-US" w:eastAsia="zh-CN" w:bidi="zh-CN"/>
                    </w:rPr>
                    <w:t>2.0</w:t>
                  </w:r>
                </w:p>
              </w:tc>
            </w:tr>
          </w:tbl>
          <w:p>
            <w:pPr>
              <w:pStyle w:val="122"/>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b w:val="0"/>
                <w:bCs w:val="0"/>
                <w:i w:val="0"/>
                <w:iCs w:val="0"/>
                <w:color w:val="auto"/>
                <w:sz w:val="21"/>
                <w:szCs w:val="21"/>
                <w:highlight w:val="none"/>
                <w:lang w:val="en-US" w:eastAsia="zh-CN" w:bidi="en-US"/>
              </w:rPr>
            </w:pPr>
            <w:r>
              <w:rPr>
                <w:rFonts w:hint="eastAsia" w:ascii="宋体" w:hAnsi="宋体" w:eastAsia="宋体" w:cs="宋体"/>
                <w:b w:val="0"/>
                <w:bCs w:val="0"/>
                <w:i w:val="0"/>
                <w:iCs w:val="0"/>
                <w:color w:val="auto"/>
                <w:sz w:val="21"/>
                <w:szCs w:val="21"/>
                <w:highlight w:val="none"/>
                <w:lang w:val="en-US" w:eastAsia="zh-CN" w:bidi="en-US"/>
              </w:rPr>
              <w:t>表4.3.2-2</w:t>
            </w:r>
            <w:r>
              <w:rPr>
                <w:rFonts w:hint="eastAsia" w:cs="宋体"/>
                <w:b w:val="0"/>
                <w:bCs w:val="0"/>
                <w:i w:val="0"/>
                <w:iCs w:val="0"/>
                <w:color w:val="auto"/>
                <w:sz w:val="21"/>
                <w:szCs w:val="21"/>
                <w:highlight w:val="none"/>
                <w:lang w:val="en-US" w:eastAsia="zh-CN" w:bidi="en-US"/>
              </w:rPr>
              <w:t xml:space="preserve"> </w:t>
            </w:r>
            <w:r>
              <w:rPr>
                <w:rFonts w:hint="eastAsia" w:ascii="宋体" w:hAnsi="宋体" w:eastAsia="宋体" w:cs="宋体"/>
                <w:b w:val="0"/>
                <w:bCs w:val="0"/>
                <w:i w:val="0"/>
                <w:iCs w:val="0"/>
                <w:color w:val="auto"/>
                <w:sz w:val="21"/>
                <w:szCs w:val="21"/>
                <w:highlight w:val="none"/>
                <w:lang w:val="en-US" w:eastAsia="zh-CN" w:bidi="en-US"/>
              </w:rPr>
              <w:t>聚乙烯燃气管道与市政热力管道之冋的垂直净距</w:t>
            </w:r>
          </w:p>
          <w:tbl>
            <w:tblPr>
              <w:tblStyle w:val="20"/>
              <w:tblW w:w="4999" w:type="pct"/>
              <w:jc w:val="center"/>
              <w:tblLayout w:type="autofit"/>
              <w:tblCellMar>
                <w:top w:w="0" w:type="dxa"/>
                <w:left w:w="10" w:type="dxa"/>
                <w:bottom w:w="0" w:type="dxa"/>
                <w:right w:w="10" w:type="dxa"/>
              </w:tblCellMar>
            </w:tblPr>
            <w:tblGrid>
              <w:gridCol w:w="961"/>
              <w:gridCol w:w="3318"/>
              <w:gridCol w:w="6563"/>
            </w:tblGrid>
            <w:tr>
              <w:tblPrEx>
                <w:tblCellMar>
                  <w:top w:w="0" w:type="dxa"/>
                  <w:left w:w="10" w:type="dxa"/>
                  <w:bottom w:w="0" w:type="dxa"/>
                  <w:right w:w="10" w:type="dxa"/>
                </w:tblCellMar>
              </w:tblPrEx>
              <w:trPr>
                <w:trHeight w:val="335" w:hRule="exact"/>
                <w:jc w:val="center"/>
              </w:trPr>
              <w:tc>
                <w:tcPr>
                  <w:tcW w:w="1973" w:type="pct"/>
                  <w:gridSpan w:val="2"/>
                  <w:tcBorders>
                    <w:top w:val="single" w:color="auto" w:sz="4" w:space="0"/>
                    <w:left w:val="single" w:color="auto" w:sz="4" w:space="0"/>
                  </w:tcBorders>
                  <w:shd w:val="clear" w:color="auto" w:fill="FFFFFF"/>
                  <w:vAlign w:val="bottom"/>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w:t>
                  </w:r>
                </w:p>
              </w:tc>
              <w:tc>
                <w:tcPr>
                  <w:tcW w:w="3026" w:type="pct"/>
                  <w:tcBorders>
                    <w:top w:val="single" w:color="auto" w:sz="4" w:space="0"/>
                    <w:left w:val="single" w:color="auto" w:sz="4" w:space="0"/>
                    <w:right w:val="single" w:color="auto" w:sz="4" w:space="0"/>
                  </w:tcBorders>
                  <w:shd w:val="clear" w:color="auto" w:fill="FFFFFF"/>
                  <w:vAlign w:val="bottom"/>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地下燃气管道（当有套管时，从套管外径计）</w:t>
                  </w:r>
                  <w:r>
                    <w:rPr>
                      <w:rFonts w:hint="eastAsia" w:ascii="宋体" w:hAnsi="宋体" w:eastAsia="宋体" w:cs="宋体"/>
                      <w:color w:val="auto"/>
                      <w:sz w:val="21"/>
                      <w:szCs w:val="21"/>
                      <w:highlight w:val="none"/>
                      <w:lang w:val="en-US" w:eastAsia="zh-CN"/>
                    </w:rPr>
                    <w:t>(m)</w:t>
                  </w:r>
                </w:p>
              </w:tc>
            </w:tr>
            <w:tr>
              <w:tblPrEx>
                <w:tblCellMar>
                  <w:top w:w="0" w:type="dxa"/>
                  <w:left w:w="10" w:type="dxa"/>
                  <w:bottom w:w="0" w:type="dxa"/>
                  <w:right w:w="10" w:type="dxa"/>
                </w:tblCellMar>
              </w:tblPrEx>
              <w:trPr>
                <w:trHeight w:val="329" w:hRule="exact"/>
                <w:jc w:val="center"/>
              </w:trPr>
              <w:tc>
                <w:tcPr>
                  <w:tcW w:w="443" w:type="pct"/>
                  <w:vMerge w:val="restar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热力管</w:t>
                  </w:r>
                </w:p>
              </w:tc>
              <w:tc>
                <w:tcPr>
                  <w:tcW w:w="1529" w:type="pc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燃气管在</w:t>
                  </w:r>
                  <w:r>
                    <w:rPr>
                      <w:rFonts w:hint="eastAsia" w:ascii="宋体" w:hAnsi="宋体" w:eastAsia="宋体" w:cs="宋体"/>
                      <w:color w:val="auto"/>
                      <w:sz w:val="21"/>
                      <w:szCs w:val="21"/>
                      <w:highlight w:val="none"/>
                      <w:lang w:eastAsia="zh-CN"/>
                    </w:rPr>
                    <w:t>直</w:t>
                  </w:r>
                  <w:r>
                    <w:rPr>
                      <w:rFonts w:hint="eastAsia" w:ascii="宋体" w:hAnsi="宋体" w:eastAsia="宋体" w:cs="宋体"/>
                      <w:color w:val="auto"/>
                      <w:sz w:val="21"/>
                      <w:szCs w:val="21"/>
                      <w:highlight w:val="none"/>
                    </w:rPr>
                    <w:t>埋</w:t>
                  </w:r>
                  <w:r>
                    <w:rPr>
                      <w:rFonts w:hint="eastAsia" w:ascii="宋体" w:hAnsi="宋体" w:eastAsia="宋体" w:cs="宋体"/>
                      <w:color w:val="auto"/>
                      <w:sz w:val="21"/>
                      <w:szCs w:val="21"/>
                      <w:highlight w:val="none"/>
                      <w:lang w:eastAsia="zh-CN"/>
                    </w:rPr>
                    <w:t>管</w:t>
                  </w:r>
                  <w:r>
                    <w:rPr>
                      <w:rFonts w:hint="eastAsia" w:ascii="宋体" w:hAnsi="宋体" w:eastAsia="宋体" w:cs="宋体"/>
                      <w:color w:val="auto"/>
                      <w:sz w:val="21"/>
                      <w:szCs w:val="21"/>
                      <w:highlight w:val="none"/>
                    </w:rPr>
                    <w:t>上方</w:t>
                  </w:r>
                </w:p>
              </w:tc>
              <w:tc>
                <w:tcPr>
                  <w:tcW w:w="3026" w:type="pct"/>
                  <w:tcBorders>
                    <w:top w:val="single" w:color="auto" w:sz="4" w:space="0"/>
                    <w:left w:val="single" w:color="auto" w:sz="4" w:space="0"/>
                    <w:righ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en-US"/>
                    </w:rPr>
                    <w:t>0.5</w:t>
                  </w:r>
                  <w:r>
                    <w:rPr>
                      <w:rFonts w:hint="eastAsia" w:ascii="宋体" w:hAnsi="宋体" w:eastAsia="宋体" w:cs="宋体"/>
                      <w:color w:val="auto"/>
                      <w:sz w:val="21"/>
                      <w:szCs w:val="21"/>
                      <w:highlight w:val="none"/>
                    </w:rPr>
                    <w:t>（加</w:t>
                  </w:r>
                  <w:r>
                    <w:rPr>
                      <w:rFonts w:hint="eastAsia" w:ascii="宋体" w:hAnsi="宋体" w:eastAsia="宋体" w:cs="宋体"/>
                      <w:color w:val="auto"/>
                      <w:sz w:val="21"/>
                      <w:szCs w:val="21"/>
                      <w:highlight w:val="none"/>
                      <w:lang w:val="en-US" w:eastAsia="zh-CN"/>
                    </w:rPr>
                    <w:t>套</w:t>
                  </w:r>
                  <w:r>
                    <w:rPr>
                      <w:rFonts w:hint="eastAsia" w:ascii="宋体" w:hAnsi="宋体" w:eastAsia="宋体" w:cs="宋体"/>
                      <w:color w:val="auto"/>
                      <w:sz w:val="21"/>
                      <w:szCs w:val="21"/>
                      <w:highlight w:val="none"/>
                    </w:rPr>
                    <w:t>管）</w:t>
                  </w:r>
                </w:p>
              </w:tc>
            </w:tr>
            <w:tr>
              <w:tblPrEx>
                <w:tblCellMar>
                  <w:top w:w="0" w:type="dxa"/>
                  <w:left w:w="10" w:type="dxa"/>
                  <w:bottom w:w="0" w:type="dxa"/>
                  <w:right w:w="10" w:type="dxa"/>
                </w:tblCellMar>
              </w:tblPrEx>
              <w:trPr>
                <w:trHeight w:val="363" w:hRule="exact"/>
                <w:jc w:val="center"/>
              </w:trPr>
              <w:tc>
                <w:tcPr>
                  <w:tcW w:w="443" w:type="pct"/>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zh-TW" w:eastAsia="zh-TW" w:bidi="zh-TW"/>
                    </w:rPr>
                  </w:pPr>
                </w:p>
              </w:tc>
              <w:tc>
                <w:tcPr>
                  <w:tcW w:w="1529" w:type="pc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燃气管在直埋管下方</w:t>
                  </w:r>
                </w:p>
              </w:tc>
              <w:tc>
                <w:tcPr>
                  <w:tcW w:w="3026" w:type="pct"/>
                  <w:tcBorders>
                    <w:top w:val="single" w:color="auto" w:sz="4" w:space="0"/>
                    <w:left w:val="single" w:color="auto" w:sz="4" w:space="0"/>
                    <w:righ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en-US"/>
                    </w:rPr>
                    <w:t>1.0</w:t>
                  </w:r>
                  <w:r>
                    <w:rPr>
                      <w:rFonts w:hint="eastAsia" w:ascii="宋体" w:hAnsi="宋体" w:eastAsia="宋体" w:cs="宋体"/>
                      <w:color w:val="auto"/>
                      <w:sz w:val="21"/>
                      <w:szCs w:val="21"/>
                      <w:highlight w:val="none"/>
                    </w:rPr>
                    <w:t>（加套管）</w:t>
                  </w:r>
                </w:p>
              </w:tc>
            </w:tr>
            <w:tr>
              <w:tblPrEx>
                <w:tblCellMar>
                  <w:top w:w="0" w:type="dxa"/>
                  <w:left w:w="10" w:type="dxa"/>
                  <w:bottom w:w="0" w:type="dxa"/>
                  <w:right w:w="10" w:type="dxa"/>
                </w:tblCellMar>
              </w:tblPrEx>
              <w:trPr>
                <w:trHeight w:val="552" w:hRule="exact"/>
                <w:jc w:val="center"/>
              </w:trPr>
              <w:tc>
                <w:tcPr>
                  <w:tcW w:w="443" w:type="pct"/>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529" w:type="pc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w:t>
                  </w:r>
                  <w:r>
                    <w:rPr>
                      <w:rFonts w:hint="eastAsia" w:ascii="宋体" w:hAnsi="宋体" w:eastAsia="宋体" w:cs="宋体"/>
                      <w:color w:val="auto"/>
                      <w:sz w:val="21"/>
                      <w:szCs w:val="21"/>
                      <w:highlight w:val="none"/>
                      <w:lang w:eastAsia="zh-CN"/>
                    </w:rPr>
                    <w:t>管</w:t>
                  </w:r>
                  <w:r>
                    <w:rPr>
                      <w:rFonts w:hint="eastAsia" w:ascii="宋体" w:hAnsi="宋体" w:eastAsia="宋体" w:cs="宋体"/>
                      <w:color w:val="auto"/>
                      <w:sz w:val="21"/>
                      <w:szCs w:val="21"/>
                      <w:highlight w:val="none"/>
                    </w:rPr>
                    <w:t>在管沟上方</w:t>
                  </w:r>
                </w:p>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（至</w:t>
                  </w:r>
                  <w:r>
                    <w:rPr>
                      <w:rFonts w:hint="eastAsia" w:ascii="宋体" w:hAnsi="宋体" w:eastAsia="宋体" w:cs="宋体"/>
                      <w:color w:val="auto"/>
                      <w:sz w:val="21"/>
                      <w:szCs w:val="21"/>
                      <w:highlight w:val="none"/>
                      <w:lang w:eastAsia="zh-CN"/>
                    </w:rPr>
                    <w:t>管</w:t>
                  </w:r>
                  <w:r>
                    <w:rPr>
                      <w:rFonts w:hint="eastAsia" w:ascii="宋体" w:hAnsi="宋体" w:eastAsia="宋体" w:cs="宋体"/>
                      <w:color w:val="auto"/>
                      <w:sz w:val="21"/>
                      <w:szCs w:val="21"/>
                      <w:highlight w:val="none"/>
                    </w:rPr>
                    <w:t>沟外壁）</w:t>
                  </w:r>
                </w:p>
              </w:tc>
              <w:tc>
                <w:tcPr>
                  <w:tcW w:w="3026" w:type="pct"/>
                  <w:tcBorders>
                    <w:top w:val="single" w:color="auto" w:sz="4" w:space="0"/>
                    <w:left w:val="single" w:color="auto" w:sz="4" w:space="0"/>
                    <w:righ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0.2</w:t>
                  </w:r>
                  <w:r>
                    <w:rPr>
                      <w:rFonts w:hint="eastAsia" w:ascii="宋体" w:hAnsi="宋体" w:eastAsia="宋体" w:cs="宋体"/>
                      <w:color w:val="auto"/>
                      <w:sz w:val="21"/>
                      <w:szCs w:val="21"/>
                      <w:highlight w:val="none"/>
                    </w:rPr>
                    <w:t>（加套管）或</w:t>
                  </w:r>
                  <w:r>
                    <w:rPr>
                      <w:rFonts w:hint="eastAsia" w:ascii="宋体" w:hAnsi="宋体" w:eastAsia="宋体" w:cs="宋体"/>
                      <w:color w:val="auto"/>
                      <w:sz w:val="21"/>
                      <w:szCs w:val="21"/>
                      <w:highlight w:val="none"/>
                      <w:lang w:val="en-US" w:eastAsia="zh-CN"/>
                    </w:rPr>
                    <w:t>0.4</w:t>
                  </w:r>
                  <w:r>
                    <w:rPr>
                      <w:rFonts w:hint="eastAsia" w:ascii="宋体" w:hAnsi="宋体" w:eastAsia="宋体" w:cs="宋体"/>
                      <w:color w:val="auto"/>
                      <w:sz w:val="21"/>
                      <w:szCs w:val="21"/>
                      <w:highlight w:val="none"/>
                    </w:rPr>
                    <w:t>（无套管）</w:t>
                  </w:r>
                </w:p>
              </w:tc>
            </w:tr>
            <w:tr>
              <w:tblPrEx>
                <w:tblCellMar>
                  <w:top w:w="0" w:type="dxa"/>
                  <w:left w:w="10" w:type="dxa"/>
                  <w:bottom w:w="0" w:type="dxa"/>
                  <w:right w:w="10" w:type="dxa"/>
                </w:tblCellMar>
              </w:tblPrEx>
              <w:trPr>
                <w:trHeight w:val="579" w:hRule="exact"/>
                <w:jc w:val="center"/>
              </w:trPr>
              <w:tc>
                <w:tcPr>
                  <w:tcW w:w="443" w:type="pct"/>
                  <w:vMerge w:val="continue"/>
                  <w:tcBorders>
                    <w:left w:val="single" w:color="auto" w:sz="4" w:space="0"/>
                    <w:bottom w:val="single" w:color="auto" w:sz="4" w:space="0"/>
                  </w:tcBorders>
                  <w:shd w:val="clear" w:color="auto" w:fill="FFFFFF"/>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529" w:type="pct"/>
                  <w:tcBorders>
                    <w:top w:val="single" w:color="auto" w:sz="4" w:space="0"/>
                    <w:left w:val="single" w:color="auto" w:sz="4" w:space="0"/>
                    <w:bottom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w:t>
                  </w:r>
                  <w:r>
                    <w:rPr>
                      <w:rFonts w:hint="eastAsia" w:ascii="宋体" w:hAnsi="宋体" w:eastAsia="宋体" w:cs="宋体"/>
                      <w:color w:val="auto"/>
                      <w:sz w:val="21"/>
                      <w:szCs w:val="21"/>
                      <w:highlight w:val="none"/>
                      <w:lang w:eastAsia="zh-CN"/>
                    </w:rPr>
                    <w:t>气</w:t>
                  </w:r>
                  <w:r>
                    <w:rPr>
                      <w:rFonts w:hint="eastAsia" w:ascii="宋体" w:hAnsi="宋体" w:eastAsia="宋体" w:cs="宋体"/>
                      <w:color w:val="auto"/>
                      <w:sz w:val="21"/>
                      <w:szCs w:val="21"/>
                      <w:highlight w:val="none"/>
                    </w:rPr>
                    <w:t>管在</w:t>
                  </w:r>
                  <w:r>
                    <w:rPr>
                      <w:rFonts w:hint="eastAsia" w:ascii="宋体" w:hAnsi="宋体" w:eastAsia="宋体" w:cs="宋体"/>
                      <w:color w:val="auto"/>
                      <w:sz w:val="21"/>
                      <w:szCs w:val="21"/>
                      <w:highlight w:val="none"/>
                      <w:lang w:eastAsia="zh-CN"/>
                    </w:rPr>
                    <w:t>管沟</w:t>
                  </w:r>
                  <w:r>
                    <w:rPr>
                      <w:rFonts w:hint="eastAsia" w:ascii="宋体" w:hAnsi="宋体" w:eastAsia="宋体" w:cs="宋体"/>
                      <w:color w:val="auto"/>
                      <w:sz w:val="21"/>
                      <w:szCs w:val="21"/>
                      <w:highlight w:val="none"/>
                    </w:rPr>
                    <w:t>下方</w:t>
                  </w:r>
                </w:p>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（至管沟外壁）</w:t>
                  </w:r>
                </w:p>
              </w:tc>
              <w:tc>
                <w:tcPr>
                  <w:tcW w:w="3026"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0.3</w:t>
                  </w:r>
                  <w:r>
                    <w:rPr>
                      <w:rFonts w:hint="eastAsia" w:ascii="宋体" w:hAnsi="宋体" w:eastAsia="宋体" w:cs="宋体"/>
                      <w:color w:val="auto"/>
                      <w:sz w:val="21"/>
                      <w:szCs w:val="21"/>
                      <w:highlight w:val="none"/>
                    </w:rPr>
                    <w:t>（加套管）</w:t>
                  </w:r>
                </w:p>
              </w:tc>
            </w:tr>
          </w:tbl>
          <w:p>
            <w:pPr>
              <w:pStyle w:val="122"/>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zh-CN" w:eastAsia="zh-CN" w:bidi="zh-CN"/>
              </w:rPr>
            </w:pPr>
            <w:r>
              <w:rPr>
                <w:rFonts w:hint="eastAsia" w:ascii="宋体" w:hAnsi="宋体" w:eastAsia="宋体" w:cs="宋体"/>
                <w:color w:val="auto"/>
                <w:sz w:val="21"/>
                <w:szCs w:val="21"/>
                <w:highlight w:val="none"/>
              </w:rPr>
              <w:t>注：1</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套管敷设要求应与现行国家标准《城镇燃气设计规范》</w:t>
            </w:r>
            <w:r>
              <w:rPr>
                <w:rFonts w:hint="eastAsia" w:ascii="宋体" w:hAnsi="宋体" w:eastAsia="宋体" w:cs="宋体"/>
                <w:color w:val="auto"/>
                <w:sz w:val="21"/>
                <w:szCs w:val="21"/>
                <w:highlight w:val="none"/>
                <w:lang w:val="en-US" w:eastAsia="zh-CN" w:bidi="en-US"/>
              </w:rPr>
              <w:t>GB</w:t>
            </w:r>
            <w:r>
              <w:rPr>
                <w:rFonts w:hint="eastAsia" w:ascii="宋体" w:hAnsi="宋体" w:eastAsia="宋体" w:cs="宋体"/>
                <w:color w:val="auto"/>
                <w:sz w:val="21"/>
                <w:szCs w:val="21"/>
                <w:highlight w:val="none"/>
              </w:rPr>
              <w:t>50028的规定</w:t>
            </w:r>
            <w:r>
              <w:rPr>
                <w:rFonts w:hint="eastAsia" w:ascii="宋体" w:hAnsi="宋体" w:eastAsia="宋体" w:cs="宋体"/>
                <w:color w:val="auto"/>
                <w:sz w:val="21"/>
                <w:szCs w:val="21"/>
                <w:highlight w:val="none"/>
                <w:lang w:eastAsia="zh-CN"/>
              </w:rPr>
              <w:t>一</w:t>
            </w:r>
            <w:r>
              <w:rPr>
                <w:rFonts w:hint="eastAsia" w:ascii="宋体" w:hAnsi="宋体" w:eastAsia="宋体" w:cs="宋体"/>
                <w:color w:val="auto"/>
                <w:sz w:val="21"/>
                <w:szCs w:val="21"/>
                <w:highlight w:val="none"/>
                <w:lang w:val="zh-CN" w:eastAsia="zh-CN" w:bidi="zh-CN"/>
              </w:rPr>
              <w:t>致：</w:t>
            </w:r>
          </w:p>
          <w:p>
            <w:pPr>
              <w:pStyle w:val="122"/>
              <w:keepNext w:val="0"/>
              <w:keepLines w:val="0"/>
              <w:pageBreakBefore w:val="0"/>
              <w:kinsoku/>
              <w:wordWrap/>
              <w:overflowPunct/>
              <w:topLinePunct w:val="0"/>
              <w:autoSpaceDE/>
              <w:autoSpaceDN/>
              <w:bidi w:val="0"/>
              <w:spacing w:line="260" w:lineRule="atLeast"/>
              <w:ind w:left="0" w:firstLine="630" w:firstLineChars="300"/>
              <w:jc w:val="left"/>
              <w:rPr>
                <w:rFonts w:hint="eastAsia" w:ascii="宋体" w:hAnsi="宋体" w:eastAsia="宋体" w:cs="宋体"/>
                <w:color w:val="auto"/>
                <w:sz w:val="21"/>
                <w:szCs w:val="21"/>
                <w:highlight w:val="none"/>
                <w:lang w:val="en-US" w:eastAsia="zh-CN" w:bidi="en-US"/>
              </w:rPr>
            </w:pPr>
            <w:r>
              <w:rPr>
                <w:rFonts w:hint="eastAsia" w:ascii="宋体" w:hAnsi="宋体" w:eastAsia="宋体" w:cs="宋体"/>
                <w:color w:val="auto"/>
                <w:sz w:val="21"/>
                <w:szCs w:val="21"/>
                <w:highlight w:val="none"/>
              </w:rPr>
              <w:t>2当采取措施，保证</w:t>
            </w:r>
            <w:r>
              <w:rPr>
                <w:rFonts w:hint="eastAsia" w:ascii="宋体" w:hAnsi="宋体" w:eastAsia="宋体" w:cs="宋体"/>
                <w:color w:val="auto"/>
                <w:sz w:val="21"/>
                <w:szCs w:val="21"/>
                <w:highlight w:val="none"/>
                <w:lang w:eastAsia="zh-CN"/>
              </w:rPr>
              <w:t>土壤</w:t>
            </w:r>
            <w:r>
              <w:rPr>
                <w:rFonts w:hint="eastAsia" w:ascii="宋体" w:hAnsi="宋体" w:eastAsia="宋体" w:cs="宋体"/>
                <w:color w:val="auto"/>
                <w:sz w:val="21"/>
                <w:szCs w:val="21"/>
                <w:highlight w:val="none"/>
              </w:rPr>
              <w:t>温度小于</w:t>
            </w:r>
            <w:r>
              <w:rPr>
                <w:rFonts w:hint="eastAsia" w:ascii="宋体" w:hAnsi="宋体" w:eastAsia="宋体" w:cs="宋体"/>
                <w:color w:val="auto"/>
                <w:sz w:val="21"/>
                <w:szCs w:val="21"/>
                <w:highlight w:val="none"/>
                <w:lang w:val="en-US" w:eastAsia="zh-CN" w:bidi="en-US"/>
              </w:rPr>
              <w:t>40℃，</w:t>
            </w:r>
            <w:r>
              <w:rPr>
                <w:rFonts w:hint="eastAsia" w:ascii="宋体" w:hAnsi="宋体" w:eastAsia="宋体" w:cs="宋体"/>
                <w:color w:val="auto"/>
                <w:sz w:val="21"/>
                <w:szCs w:val="21"/>
                <w:highlight w:val="none"/>
              </w:rPr>
              <w:t>可适当减少管道与热力管道之间垂直净距。</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 xml:space="preserve">4.3.3 </w:t>
            </w:r>
            <w:r>
              <w:rPr>
                <w:rFonts w:hint="eastAsia" w:ascii="宋体" w:hAnsi="宋体" w:eastAsia="宋体" w:cs="宋体"/>
                <w:color w:val="auto"/>
                <w:sz w:val="21"/>
                <w:szCs w:val="21"/>
                <w:highlight w:val="none"/>
              </w:rPr>
              <w:t>聚乙烯燃气管道埋设的最小覆土深度（地面至管顶）应符合下列规定：</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en-US" w:eastAsia="zh-CN" w:bidi="en-US"/>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埋设在车行道下，不得小于</w:t>
            </w:r>
            <w:r>
              <w:rPr>
                <w:rFonts w:hint="eastAsia" w:ascii="宋体" w:hAnsi="宋体" w:eastAsia="宋体" w:cs="宋体"/>
                <w:color w:val="auto"/>
                <w:sz w:val="21"/>
                <w:szCs w:val="21"/>
                <w:highlight w:val="none"/>
                <w:lang w:val="en-US" w:eastAsia="zh-CN" w:bidi="en-US"/>
              </w:rPr>
              <w:t>0.9m；</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en-US" w:eastAsia="zh-CN" w:bidi="en-US"/>
              </w:rPr>
            </w:pPr>
            <w:r>
              <w:rPr>
                <w:rFonts w:hint="eastAsia" w:ascii="宋体" w:hAnsi="宋体" w:eastAsia="宋体" w:cs="宋体"/>
                <w:i w:val="0"/>
                <w:iCs w:val="0"/>
                <w:color w:val="auto"/>
                <w:sz w:val="21"/>
                <w:szCs w:val="21"/>
                <w:highlight w:val="none"/>
                <w:lang w:val="en-US" w:eastAsia="zh-CN"/>
              </w:rPr>
              <w:t>2</w:t>
            </w:r>
            <w:r>
              <w:rPr>
                <w:rFonts w:hint="eastAsia" w:ascii="宋体" w:hAnsi="宋体" w:eastAsia="宋体" w:cs="宋体"/>
                <w:i w:val="0"/>
                <w:iCs w:val="0"/>
                <w:color w:val="auto"/>
                <w:sz w:val="21"/>
                <w:szCs w:val="21"/>
                <w:highlight w:val="none"/>
                <w:lang w:val="en-US" w:eastAsia="zh-CN"/>
              </w:rPr>
              <w:t xml:space="preserve"> </w:t>
            </w:r>
            <w:r>
              <w:rPr>
                <w:rFonts w:hint="eastAsia" w:ascii="宋体" w:hAnsi="宋体" w:eastAsia="宋体" w:cs="宋体"/>
                <w:color w:val="auto"/>
                <w:sz w:val="21"/>
                <w:szCs w:val="21"/>
                <w:highlight w:val="none"/>
              </w:rPr>
              <w:t>埋设在非车行道（含人行道）下，不得小于</w:t>
            </w:r>
            <w:r>
              <w:rPr>
                <w:rFonts w:hint="eastAsia" w:ascii="宋体" w:hAnsi="宋体" w:eastAsia="宋体" w:cs="宋体"/>
                <w:color w:val="auto"/>
                <w:sz w:val="21"/>
                <w:szCs w:val="21"/>
                <w:highlight w:val="none"/>
                <w:lang w:val="en-US" w:eastAsia="zh-CN" w:bidi="en-US"/>
              </w:rPr>
              <w:t>0.6m；</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en-US" w:eastAsia="zh-CN" w:bidi="en-US"/>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埋设在机动车不可能到达的地方时，不得小于</w:t>
            </w:r>
            <w:r>
              <w:rPr>
                <w:rFonts w:hint="eastAsia" w:ascii="宋体" w:hAnsi="宋体" w:eastAsia="宋体" w:cs="宋体"/>
                <w:color w:val="auto"/>
                <w:sz w:val="21"/>
                <w:szCs w:val="21"/>
                <w:highlight w:val="none"/>
                <w:lang w:val="en-US" w:eastAsia="zh-CN" w:bidi="en-US"/>
              </w:rPr>
              <w:t>0.5m；</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埋设在水田下时，不得小于</w:t>
            </w:r>
            <w:r>
              <w:rPr>
                <w:rFonts w:hint="eastAsia" w:ascii="宋体" w:hAnsi="宋体" w:eastAsia="宋体" w:cs="宋体"/>
                <w:color w:val="auto"/>
                <w:sz w:val="21"/>
                <w:szCs w:val="21"/>
                <w:highlight w:val="none"/>
                <w:lang w:val="en-US" w:eastAsia="zh-CN" w:bidi="en-US"/>
              </w:rPr>
              <w:t>0.8m；</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rPr>
              <w:t>5 当埋深达不到上述要求时，应采取保护措施。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r>
              <w:rPr>
                <w:rFonts w:hint="eastAsia" w:ascii="宋体" w:hAnsi="宋体" w:eastAsia="宋体" w:cs="宋体"/>
                <w:b w:val="0"/>
                <w:bCs w:val="0"/>
                <w:color w:val="auto"/>
                <w:spacing w:val="-6"/>
                <w:sz w:val="21"/>
                <w:szCs w:val="21"/>
                <w:highlight w:val="none"/>
              </w:rPr>
              <w:t>3.2.3.2</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r>
              <w:rPr>
                <w:rFonts w:hint="eastAsia" w:ascii="宋体" w:hAnsi="宋体" w:eastAsia="宋体" w:cs="宋体"/>
                <w:color w:val="auto"/>
                <w:sz w:val="21"/>
                <w:szCs w:val="21"/>
                <w:highlight w:val="none"/>
              </w:rPr>
              <w:t>埋地管道敷设</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钢质管道组对、焊接应符合设计及相关标准要求。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《城镇燃气输配工程施工及验收规范》CJJ33-2005</w:t>
            </w:r>
          </w:p>
        </w:tc>
        <w:tc>
          <w:tcPr>
            <w:tcW w:w="11060" w:type="dxa"/>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1.0.4 承担燃气钢质管道、设备焊接的人员，必须具有锅炉压力容器压力管道特种设备操作人员资格证</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焊接</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焊工合格证书，且在证书的有效期及合格范围内从事焊接工作。间断焊接时间超过6个月，再次上岗前应重新考试；承担其他材质燃气管道安装的人员，必须经过专门培训，并经考试合格，间断安装时间超过6个月，再次上岗前应重新考试和技术评定。当使用的安装设备发生变化时，应针对该设备操作要求进行专门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公用管道》GB/T38942-2020</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6.4.2.1 钢管下料切割及坡口加工应符合下列规定：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b）碳钢、碳锰钢可采用机械加工方法或火焰切割方法切割和制备坡口。合金钢宜采用机械加工方法切割和制备坡口。若采用火焰切割，切割后应采用机械加工或打磨方法去除热影响区。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c）跨越管道管段加工前应对管段的长度、管径和壁厚进行选配，每根钢管最小长度不宜小于8ｍ。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d）管材、管件切口表面应平整，尺寸应正确，并应无裂纹、重皮、毛刺、凸凹、缩口、熔渣、气化物、铁屑等现象。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f）坡口及边缘20mm内母材应无裂纹、重皮、破损、弧坑、氧化铁、毛刺缺陷及污染物。管道坡口加工尺寸应符合设计要求，设计无要求时应按GB50236的相关规定执行。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g）钢管如有凿痕、槽痕、凹陷、变形等有害缺陷，应按下列方法修复或消除后使用：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1）凿痕、槽痕可用砂轮磨去，但磨剩的厚度不得小于材料标准允许的最小厚度，否则，应将受损部分整段切除；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2）凹陷的深度不得超过公称管径的2%，凹陷位于纵向焊缝或环向焊缝处，应将凹陷处管道受损部分整段切除；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3）变形的管段超过钢管制造标准时，应废弃。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6.4.2.3 管口的组对应符合下列规定：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a）管口组对的坡口型式应符合焊接工艺规程的规定。管道组对应符合表23的规定。</w:t>
            </w:r>
          </w:p>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表23 管道组对规定</w:t>
            </w:r>
          </w:p>
          <w:tbl>
            <w:tblPr>
              <w:tblStyle w:val="121"/>
              <w:tblW w:w="4999"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4661"/>
              <w:gridCol w:w="6176"/>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3" w:hRule="atLeast"/>
                <w:jc w:val="center"/>
              </w:trPr>
              <w:tc>
                <w:tcPr>
                  <w:tcW w:w="2150" w:type="pct"/>
                  <w:tcBorders>
                    <w:lef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检   查   项    目</w:t>
                  </w:r>
                </w:p>
              </w:tc>
              <w:tc>
                <w:tcPr>
                  <w:tcW w:w="2849" w:type="pct"/>
                  <w:tcBorders>
                    <w:righ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规   定   要   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55" w:hRule="atLeast"/>
                <w:jc w:val="center"/>
              </w:trPr>
              <w:tc>
                <w:tcPr>
                  <w:tcW w:w="2150" w:type="pct"/>
                  <w:tcBorders>
                    <w:lef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管内清扫</w:t>
                  </w:r>
                </w:p>
              </w:tc>
              <w:tc>
                <w:tcPr>
                  <w:tcW w:w="2849" w:type="pct"/>
                  <w:tcBorders>
                    <w:righ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无污物</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6" w:hRule="atLeast"/>
                <w:jc w:val="center"/>
              </w:trPr>
              <w:tc>
                <w:tcPr>
                  <w:tcW w:w="2150" w:type="pct"/>
                  <w:tcBorders>
                    <w:lef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管口清理（10mm范围内）和修口</w:t>
                  </w:r>
                </w:p>
              </w:tc>
              <w:tc>
                <w:tcPr>
                  <w:tcW w:w="2849" w:type="pct"/>
                  <w:tcBorders>
                    <w:righ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管口完好无损，无铁锈油污、油漆、毛刺。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55" w:hRule="atLeast"/>
                <w:jc w:val="center"/>
              </w:trPr>
              <w:tc>
                <w:tcPr>
                  <w:tcW w:w="2150" w:type="pct"/>
                  <w:tcBorders>
                    <w:lef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管端螺旋焊缝或直缝余高打磨</w:t>
                  </w:r>
                </w:p>
              </w:tc>
              <w:tc>
                <w:tcPr>
                  <w:tcW w:w="2849" w:type="pct"/>
                  <w:tcBorders>
                    <w:righ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端部10mm范围内余高打磨掉，并平缓过渡。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6" w:hRule="atLeast"/>
                <w:jc w:val="center"/>
              </w:trPr>
              <w:tc>
                <w:tcPr>
                  <w:tcW w:w="2150" w:type="pct"/>
                  <w:tcBorders>
                    <w:lef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两管口螺旋焊缝或直缝间距</w:t>
                  </w:r>
                </w:p>
              </w:tc>
              <w:tc>
                <w:tcPr>
                  <w:tcW w:w="2849" w:type="pct"/>
                  <w:tcBorders>
                    <w:righ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错开间距大于或等于100mm</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21" w:hRule="atLeast"/>
                <w:jc w:val="center"/>
              </w:trPr>
              <w:tc>
                <w:tcPr>
                  <w:tcW w:w="2150" w:type="pct"/>
                  <w:tcBorders>
                    <w:lef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错口和错口校正要求</w:t>
                  </w:r>
                </w:p>
              </w:tc>
              <w:tc>
                <w:tcPr>
                  <w:tcW w:w="2849" w:type="pct"/>
                  <w:tcBorders>
                    <w:righ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当壁厚t＜14mm时，不大于1.6m；</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当14mm＜t≤17mm时，不大于2mm；</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当17mm＜t≤21mm时，不大于2.2mm；</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当21mm＜t≤26mm时，不大于2.5mm；</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当t≥26mm时，不大于3mm。</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局部错边均不应大于3mm，错边沿周长均匀分布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6" w:hRule="atLeast"/>
                <w:jc w:val="center"/>
              </w:trPr>
              <w:tc>
                <w:tcPr>
                  <w:tcW w:w="2150" w:type="pct"/>
                  <w:tcBorders>
                    <w:lef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钢管短节长度</w:t>
                  </w:r>
                </w:p>
              </w:tc>
              <w:tc>
                <w:tcPr>
                  <w:tcW w:w="2849" w:type="pct"/>
                  <w:tcBorders>
                    <w:righ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不应小于钢管外径值且不应小于0.5m</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6" w:hRule="atLeast"/>
                <w:jc w:val="center"/>
              </w:trPr>
              <w:tc>
                <w:tcPr>
                  <w:tcW w:w="2150" w:type="pct"/>
                  <w:tcBorders>
                    <w:lef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钢管对接偏差</w:t>
                  </w:r>
                </w:p>
              </w:tc>
              <w:tc>
                <w:tcPr>
                  <w:tcW w:w="2849" w:type="pct"/>
                  <w:tcBorders>
                    <w:righ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不应大于3°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3" w:hRule="atLeast"/>
                <w:jc w:val="center"/>
              </w:trPr>
              <w:tc>
                <w:tcPr>
                  <w:tcW w:w="2150" w:type="pct"/>
                  <w:tcBorders>
                    <w:lef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管端斜口</w:t>
                  </w:r>
                </w:p>
              </w:tc>
              <w:tc>
                <w:tcPr>
                  <w:tcW w:w="2849" w:type="pct"/>
                  <w:tcBorders>
                    <w:right w:val="single" w:color="000000" w:sz="6" w:space="0"/>
                  </w:tcBorders>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不能</w:t>
                  </w:r>
                </w:p>
              </w:tc>
            </w:tr>
          </w:tbl>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b）不应使用锤击的方法对管口整形。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c）不等壁厚对焊管端宜采用加过渡管或坡口过渡处理措施。壁厚差小于或等于2mm时可直接焊接，大于2mm时，应采用内削边处理，内坡角度宜为15°～30°，并应按图5进行加工修整。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d）管道连接时，不得采用强力对口。端面的间隙、偏差、错口或不同心等缺陷不得采用加热管道、加偏垫等方法消除。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val="en-US" w:eastAsia="zh-CN" w:bidi="ar"/>
              </w:rPr>
              <w:t>e)</w:t>
            </w:r>
            <w:r>
              <w:rPr>
                <w:rFonts w:hint="eastAsia" w:ascii="宋体" w:hAnsi="宋体" w:eastAsia="宋体" w:cs="宋体"/>
                <w:color w:val="auto"/>
                <w:kern w:val="0"/>
                <w:sz w:val="21"/>
                <w:szCs w:val="21"/>
                <w:highlight w:val="none"/>
                <w:lang w:bidi="ar"/>
              </w:rPr>
              <w:t xml:space="preserve">当允许在根焊道完成前撤离对口器时，则在卸下对口器前，完成的根焊道应均匀分布于管口圆周，且每段焊道长度和间距近似相等；如使用内对口器，应在卸去内对口器张力前焊完全部根焊道；在外对口器撤离前，完成的根焊道应均匀分布于管口圆周，焊道累计长度应不少于管周长的50%。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f）弯管吊装安装时，弯管上的吊点设置不应少于3个且绑扎牢固，安装过程中不得出现弯管突然翻转现象。</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val="en-US" w:eastAsia="zh-CN" w:bidi="ar"/>
              </w:rPr>
              <w:t>h</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 xml:space="preserve">钢质燃气管道穿越化粪池、窖井、雨、污水井、电缆井、热力井、人防工事等地下设施且与各设施净距小于1m时，应增设套管，套管管径宜大于穿越管二级管径以上，套管长度为套管两端与各地下设施最外侧垂直净距，宜大于2m。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6.4.2.4 钢制管道焊接应符合下列规定：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a）一般规定：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1）在进行正式焊接施工前，应根据评定合格的焊接工艺编制焊接工艺规程。焊接工艺规程在管道焊接作业时应严格执行。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2）焊接所用设备应配有指示焊接工艺参数的电流表、电压表，气压表和流量表应读数准确并能够满足焊接工艺要求，具有良好的工作状态和安全性，适合于野外工作条件。不符合要求的焊接设备应予以更换或维修。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3）新建管道与原有管道停气或带气接线前应调查原有管道的材质情况，根据材质情况确定符合的焊接工艺或进行焊接工艺评定。焊接工艺评定应符合 NB/T47014的相关规定。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4）管道焊缝距离支管或管接头的开孔边缘不应小于50mm，且不应小于孔径。当无法避免在管道焊缝上开孔或开孔补强时，应对开孔直径1.5倍或开孔补强板直径范围内的焊缝进行射线或超声检测，补强板覆盖的焊缝应磨平，管孔边缘不应存在焊缝缺陷。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5）管道环焊缝距支、吊架净距不得小于50mm。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6）施焊时不应在坡口以外的管壁上引弧；焊机地线与管道连接应采用专用卡具，防止地线与管壁产生电弧而烧伤管材；对于防腐管，焊前应在焊缝两端的管口缠绕一周宽度为0.5m的保护层。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7）施焊时焊接的环境温度应符合焊件焊接所需的温度，并不影响焊工的操作技能。同时焊条电弧焊、自保护药芯焊丝电弧焊、埋弧焊焊接时的风速不应大于8m/s；钨极惰性气体保护电弧焊、熔化极气体保护电弧焊和二氧化碳气体保护焊，风速不应大于2m/s；低氢型焊条电弧焊，风速不应大于5m/s；当超过规定时应有防风设施。焊接电弧1m范围内的相对湿度不得大于90%。</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c）焊前预热：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2）需要预热的焊件，其层间温度应不低于预热温度，碳钢和低合金钢的最高预热温度和道间温度不宜大于250℃；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3）当焊接两种具有不同预热要求的材料时，应以预热要求较高的材料为准；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4）预热应均匀达到要求，层间温度宜用相同的加热方式保持，在实际施焊期间温度不应降至最低值以下。预热宜选用合适的测温工具，保证在焊接前和焊接过程中及时获得温度数据。温度测量仪表应经检定或校准合格。</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ｅ）焊接过程控制：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1）管道焊接应符合焊接工艺规程的要求；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2）根焊完成后应立即进行填充焊；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3）管道接头应进行打磨，相邻两层的接头不得重叠，应错开30mm以上；各焊道宜连续焊接，焊接过程中，应控制道间温度；焊道上的焊渣，在下一道焊接前应清除干净；焊口完成后应清除表面焊渣和飞溅物；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4）焊口宜当日焊完，当日不能完成的应至少完成管壁厚的50%，且不应少于3层；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5）在焊接作业中，焊工应对自己所焊的焊道进行自检和修补工作，每处修补长度不应小于50mm；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 xml:space="preserve">6）对需要后热或热处理的焊缝，应按焊接工艺规程的规定进行处理；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f）焊缝缺陷的清除和修补：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1）焊缝缺陷的清除和修补应符合 NB/T47014的要求；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2）电弧烧痕应打磨掉，打磨后剩余壁厚应不小于材料标准允许的最小厚度，否则应将含有电弧烧痕的这部分钢管整段切除； </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3）焊缝在同一部位的返修，不应超过2次。根部只允许返修1次，非裂纹性缺陷修补长度不应小于50mm，否则应将该焊缝切除。返修后，按原标准检测。裂纹性缺陷应切除。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3.2.3.3</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埋地管道敷设</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钢管焊缝质量外观检查、无损检测及合格等级、返修等应符合设计及相关标准要求。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《城镇燃气输配工程施工及验收规范》CJJ33-2005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5.2.6 管道焊接完成后，强度试验及严密性试验之前，必须对所有焊缝进行外观检查和对焊缝内部质量进行检验，外观检查应在内部质量检验前进行。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公用管道》GB/T38942-2020</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7.2.3.3.1 无损检测应在目视检查合格后进行。</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7.2.3.3.2 钢质管道无损检测应符合下列规定：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 xml:space="preserve">a）无损检测应按NB/T47013.2-2015、NB/T47013.3-2015、NB/T47013.4-2015、NB/T47013.5-2015的规定进行；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 xml:space="preserve">b）除设计文件另有规定外，现场焊接的管道及管道组成件的对接环焊缝、对接式支管连接焊缝应进行射线检测或超声检测；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 xml:space="preserve">c）射线检测复验、抽查时，若发现不合格焊口，应对该焊工或流水作业焊工组在该日或该检查段中焊接的焊口加倍检查，如再有不合格的焊口，则对其余的焊口进行100%的射线检测；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 xml:space="preserve">d）管道采用全自动超声检测时，可不进行射线检测复查；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val="en-US" w:eastAsia="zh-CN" w:bidi="ar"/>
              </w:rPr>
              <w:t>e）</w:t>
            </w:r>
            <w:r>
              <w:rPr>
                <w:rFonts w:hint="eastAsia" w:ascii="宋体" w:hAnsi="宋体" w:eastAsia="宋体" w:cs="宋体"/>
                <w:color w:val="auto"/>
                <w:kern w:val="0"/>
                <w:sz w:val="21"/>
                <w:szCs w:val="21"/>
                <w:highlight w:val="none"/>
                <w:lang w:bidi="ar"/>
              </w:rPr>
              <w:t>要抽查的无损检测焊接接头位置及检查点应由监理选择或批准。</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7.3.1.3 焊缝检查、检测比例及合格标准应符合表30的规定，并应符合下列要求：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a）管道焊缝外观检查的合格标准应符合GB50683-2011的规定；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b）管道焊缝无损检验的合格标准应符合NB/T47013.2-2015和NB/T47013.3-2015的规定；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c）有延迟裂纹倾向的管道焊口应在24h后进行无损检测。</w:t>
            </w:r>
          </w:p>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表30 焊缝质量检验比例及合格标准</w:t>
            </w:r>
          </w:p>
          <w:tbl>
            <w:tblPr>
              <w:tblStyle w:val="2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10"/>
              <w:gridCol w:w="1335"/>
              <w:gridCol w:w="1337"/>
              <w:gridCol w:w="1335"/>
              <w:gridCol w:w="1337"/>
              <w:gridCol w:w="1335"/>
              <w:gridCol w:w="13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7" w:type="pct"/>
                  <w:vMerge w:val="restar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w:t>
                  </w:r>
                </w:p>
              </w:tc>
              <w:tc>
                <w:tcPr>
                  <w:tcW w:w="1233" w:type="pct"/>
                  <w:gridSpan w:val="2"/>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焊缝外观</w:t>
                  </w:r>
                </w:p>
              </w:tc>
              <w:tc>
                <w:tcPr>
                  <w:tcW w:w="1233" w:type="pct"/>
                  <w:gridSpan w:val="2"/>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射线检测</w:t>
                  </w:r>
                </w:p>
              </w:tc>
              <w:tc>
                <w:tcPr>
                  <w:tcW w:w="1235" w:type="pct"/>
                  <w:gridSpan w:val="2"/>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超声检测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7" w:type="pct"/>
                  <w:vMerge w:val="continue"/>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比例</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合格标准</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比例</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合格标准</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比例</w:t>
                  </w:r>
                </w:p>
              </w:tc>
              <w:tc>
                <w:tcPr>
                  <w:tcW w:w="618"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合格标准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7"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设计压力大于4.0MPa在三类地区及以上管道焊口</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≥Ⅱ</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≥Ⅱ</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8"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I</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7"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设计压力小于或等于4.0MPa且大于0.4MPa 管道焊口</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≥Ⅱ</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≥Ⅱ</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8"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I</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7"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设计压力小于或等于0.4MPa管道焊口</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≥Ⅱ</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≥Ⅲ</w:t>
                  </w:r>
                </w:p>
              </w:tc>
              <w:tc>
                <w:tcPr>
                  <w:tcW w:w="1235" w:type="pct"/>
                  <w:gridSpan w:val="2"/>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7"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穿越或跨越铁路、公路、河流、桥梁、城市地铁等地的管道焊口</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≥Ⅱ</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≥Ⅱ</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8"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I</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7"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车行道下、套管和过街沟内全部管道</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≥Ⅱ</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≥Ⅱ</w:t>
                  </w:r>
                </w:p>
              </w:tc>
              <w:tc>
                <w:tcPr>
                  <w:tcW w:w="1235" w:type="pct"/>
                  <w:gridSpan w:val="2"/>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7"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固定焊口</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≥Ⅱ</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≥Ⅱ</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8"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I</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7"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设计压力小于或等于4.0MPa液态液化石油气管道焊口</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≥Ⅱ</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≥Ⅱ</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8"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I</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7"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综合管廊内的管道</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≥Ⅱ</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≥Ⅱ</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8"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I</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7"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有延迟裂纹倾向的管道焊口</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≥Ⅱ</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≥Ⅱ</w:t>
                  </w:r>
                </w:p>
              </w:tc>
              <w:tc>
                <w:tcPr>
                  <w:tcW w:w="616"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100%</w:t>
                  </w:r>
                </w:p>
              </w:tc>
              <w:tc>
                <w:tcPr>
                  <w:tcW w:w="618" w:type="pct"/>
                </w:tcPr>
                <w:p>
                  <w:pPr>
                    <w:pStyle w:val="17"/>
                    <w:keepNext w:val="0"/>
                    <w:keepLines w:val="0"/>
                    <w:pageBreakBefore w:val="0"/>
                    <w:kinsoku/>
                    <w:wordWrap/>
                    <w:overflowPunct/>
                    <w:topLinePunct w:val="0"/>
                    <w:autoSpaceDE/>
                    <w:autoSpaceDN/>
                    <w:bidi w:val="0"/>
                    <w:spacing w:before="0" w:beforeAutospacing="0" w:after="0" w:afterAutospacing="0"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I</w:t>
                  </w:r>
                </w:p>
              </w:tc>
            </w:tr>
          </w:tbl>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7.3.1.4 对焊缝进行抽查时，同一项目每位焊工不应少于一条焊缝，并应侧重抽查固定焊口。每出现一道不合格焊缝，应增加检测同一焊工两道焊缝，二次抽检仍出现不合格时，应对该焊工本项目同批施焊的全部焊缝进行检验，且应采用同样的检验方法。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7.3.1.5 对检验不合格的焊缝应进行现场返修，并应对全部返修的焊缝进行无损探伤检验。同一焊缝返修次数不应超过2次，根部缺陷只允许返修1次。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3.2.3.4</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埋地管道敷设</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埋地钢质管道敷设应符合设计和相关标准要求。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《燃气工程项目规范</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GB55009-2021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en-US"/>
              </w:rPr>
              <w:t xml:space="preserve">5.1.21 </w:t>
            </w:r>
            <w:r>
              <w:rPr>
                <w:rFonts w:hint="eastAsia" w:ascii="宋体" w:hAnsi="宋体" w:eastAsia="宋体" w:cs="宋体"/>
                <w:color w:val="auto"/>
                <w:sz w:val="21"/>
                <w:szCs w:val="21"/>
                <w:highlight w:val="none"/>
                <w:lang w:bidi="zh-TW"/>
              </w:rPr>
              <w:t>埋地钢质输配管道埋设前，应对防腐层进行100%外观检查，防腐层表面不得出现气泡、破损、裂纹、剥离等缺陷。不符合质量要求时，应返工处理直至合格。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《城镇燃气输配工程施工及验收规范》CJJ33-2005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5.4.8 管道对口前应将管道、管件内部清理干净，不得存有杂物。每次收工时，敞口管端应临时封堵。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公用管道》GB/T38942-2020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5.1.3.2.8 当钢管采用弹性弯曲敷设时，应符合下列要求：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b）在相邻的反向弯曲管段之间应采用直管段连接，直管段长度不应小于钢管的外径，且不应小于500mm。</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5.1.3.2.9 热煨弯管和冷弯管不应使用褶皱弯和虾米弯，管道对接偏差不应大于3°。</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6.4.2.2钢管安装应符合下列规定：</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b）管道安装前，管道、管件、阀门等内部已清理干净、无杂物。对管内有特殊要求的管道，其质量应符合设计文件的规定。</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ｅ）管道固定口连头：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1）固定口连头前应及时将管道临时封堵装置、护口器、防尘盖等拆除方可进行连头工作；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2）固定口留头位置地形宜选择在地势较高处，沟底比设计深度加深500mm～800mm，连头处人行通道修成阶梯形，沟壁应坚实，对不良地质应加设防护装置；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3）固定口连头前，两侧宜各留出60m管线不回填，并且连头处两管头应对中，连头宜有2根～3根管长度；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4）固定口连头应参与整体管道试压，若“固定口”两侧管道已分段试压合格，该焊口应经双百无损检测；</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6.4.2.6 管道下管应符合下列规定：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a）管道应采用起重设备进行下沟，不得使用推土机或撬杠等非起重工具；采用多台起重设备下沟时，起重设备不宜少于3台，起吊点距离管道环焊缝不应小于2m。起吊高度以1m为宜，吊点间距应符合GB50369的相关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c）管道下沟时，应注意避免与沟壁碰撞，以防止擦伤防腐层。管道应与沟底充分结合，局部悬空应用细土填塞密实。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3.2.3.5</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埋地管道敷设</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r>
              <w:rPr>
                <w:rFonts w:hint="eastAsia" w:ascii="宋体" w:hAnsi="宋体" w:eastAsia="宋体" w:cs="宋体"/>
                <w:color w:val="auto"/>
                <w:sz w:val="21"/>
                <w:szCs w:val="21"/>
                <w:highlight w:val="none"/>
              </w:rPr>
              <w:t>聚乙烯燃气管道的敷设应符合设计和相关标准要求。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《聚乙烯燃气管道工程技术标准》CJJ63-2018</w:t>
            </w:r>
          </w:p>
        </w:tc>
        <w:tc>
          <w:tcPr>
            <w:tcW w:w="11060" w:type="dxa"/>
            <w:vAlign w:val="center"/>
          </w:tcPr>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1.0.3 </w:t>
            </w:r>
            <w:r>
              <w:rPr>
                <w:rFonts w:hint="eastAsia" w:ascii="宋体" w:hAnsi="宋体" w:eastAsia="宋体" w:cs="宋体"/>
                <w:color w:val="auto"/>
                <w:sz w:val="21"/>
                <w:szCs w:val="21"/>
                <w:highlight w:val="none"/>
              </w:rPr>
              <w:t>聚乙烯燃气管道严禁明设。</w:t>
            </w:r>
          </w:p>
          <w:p>
            <w:pPr>
              <w:pStyle w:val="115"/>
              <w:keepNext w:val="0"/>
              <w:keepLines w:val="0"/>
              <w:pageBreakBefore w:val="0"/>
              <w:tabs>
                <w:tab w:val="left" w:pos="530"/>
              </w:tabs>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5.1.2 </w:t>
            </w:r>
            <w:r>
              <w:rPr>
                <w:rFonts w:hint="eastAsia" w:ascii="宋体" w:hAnsi="宋体" w:eastAsia="宋体" w:cs="宋体"/>
                <w:color w:val="auto"/>
                <w:sz w:val="21"/>
                <w:szCs w:val="21"/>
                <w:highlight w:val="none"/>
              </w:rPr>
              <w:t>聚乙烯燃气管道的连接应符合下列规定：</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聚乙烯管材与管件、阀门的连接应采用热熔对接或电熔连接（电熔承插连接、电</w:t>
            </w:r>
            <w:r>
              <w:rPr>
                <w:rFonts w:hint="eastAsia" w:ascii="宋体" w:hAnsi="宋体" w:eastAsia="宋体" w:cs="宋体"/>
                <w:color w:val="auto"/>
                <w:sz w:val="21"/>
                <w:szCs w:val="21"/>
                <w:highlight w:val="none"/>
                <w:lang w:eastAsia="zh-CN"/>
              </w:rPr>
              <w:t>熔</w:t>
            </w:r>
            <w:r>
              <w:rPr>
                <w:rFonts w:hint="eastAsia" w:ascii="宋体" w:hAnsi="宋体" w:eastAsia="宋体" w:cs="宋体"/>
                <w:color w:val="auto"/>
                <w:sz w:val="21"/>
                <w:szCs w:val="21"/>
                <w:highlight w:val="none"/>
              </w:rPr>
              <w:t>鞍形连接）方式，不得采用螺纹连接或粘接。</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聚乙烯管材与金属管道或金属附件连接时，应采用钢塑转换管件连接或法兰连接；当采用法兰连接时，宜设置</w:t>
            </w:r>
            <w:r>
              <w:rPr>
                <w:rFonts w:hint="eastAsia" w:ascii="宋体" w:hAnsi="宋体" w:eastAsia="宋体" w:cs="宋体"/>
                <w:color w:val="auto"/>
                <w:sz w:val="21"/>
                <w:szCs w:val="21"/>
                <w:highlight w:val="none"/>
                <w:lang w:eastAsia="zh-CN"/>
              </w:rPr>
              <w:t>检查井</w:t>
            </w:r>
            <w:r>
              <w:rPr>
                <w:rFonts w:hint="eastAsia" w:ascii="宋体" w:hAnsi="宋体" w:eastAsia="宋体" w:cs="宋体"/>
                <w:color w:val="auto"/>
                <w:sz w:val="21"/>
                <w:szCs w:val="21"/>
                <w:highlight w:val="none"/>
              </w:rPr>
              <w:t>。</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聚乙烯管材、管件和阀门的连接在下列情况下应采用电熔连接：</w:t>
            </w:r>
          </w:p>
          <w:p>
            <w:pPr>
              <w:pStyle w:val="123"/>
              <w:keepNext w:val="0"/>
              <w:keepLines w:val="0"/>
              <w:pageBreakBefore w:val="0"/>
              <w:widowControl w:val="0"/>
              <w:numPr>
                <w:ilvl w:val="0"/>
                <w:numId w:val="9"/>
              </w:numPr>
              <w:tabs>
                <w:tab w:val="left" w:pos="987"/>
              </w:tabs>
              <w:kinsoku/>
              <w:wordWrap/>
              <w:overflowPunct/>
              <w:topLinePunct w:val="0"/>
              <w:autoSpaceDE/>
              <w:autoSpaceDN/>
              <w:bidi w:val="0"/>
              <w:adjustRightInd/>
              <w:snapToGrid/>
              <w:spacing w:line="260" w:lineRule="atLeast"/>
              <w:ind w:left="0" w:firstLine="420" w:firstLineChars="200"/>
              <w:jc w:val="left"/>
              <w:textAlignment w:val="auto"/>
              <w:rPr>
                <w:rFonts w:hint="eastAsia" w:ascii="宋体" w:hAnsi="宋体" w:eastAsia="宋体" w:cs="宋体"/>
                <w:color w:val="auto"/>
                <w:sz w:val="21"/>
                <w:szCs w:val="21"/>
                <w:highlight w:val="none"/>
                <w:lang w:val="zh-TW" w:bidi="zh-TW"/>
              </w:rPr>
            </w:pPr>
            <w:r>
              <w:rPr>
                <w:rFonts w:hint="eastAsia" w:ascii="宋体" w:hAnsi="宋体" w:eastAsia="宋体" w:cs="宋体"/>
                <w:color w:val="auto"/>
                <w:sz w:val="21"/>
                <w:szCs w:val="21"/>
                <w:highlight w:val="none"/>
                <w:lang w:val="zh-TW" w:eastAsia="zh-TW" w:bidi="zh-TW"/>
              </w:rPr>
              <w:t>不同级别</w:t>
            </w:r>
            <w:r>
              <w:rPr>
                <w:rFonts w:hint="eastAsia" w:ascii="宋体" w:hAnsi="宋体" w:eastAsia="宋体" w:cs="宋体"/>
                <w:color w:val="auto"/>
                <w:sz w:val="21"/>
                <w:szCs w:val="21"/>
                <w:highlight w:val="none"/>
                <w:lang w:bidi="zh-TW"/>
              </w:rPr>
              <w:t>（PE80</w:t>
            </w:r>
            <w:r>
              <w:rPr>
                <w:rFonts w:hint="eastAsia" w:ascii="宋体" w:hAnsi="宋体" w:eastAsia="宋体" w:cs="宋体"/>
                <w:color w:val="auto"/>
                <w:sz w:val="21"/>
                <w:szCs w:val="21"/>
                <w:highlight w:val="none"/>
                <w:lang w:val="zh-TW" w:eastAsia="zh-TW" w:bidi="zh-TW"/>
              </w:rPr>
              <w:t>与</w:t>
            </w:r>
            <w:r>
              <w:rPr>
                <w:rFonts w:hint="eastAsia" w:ascii="宋体" w:hAnsi="宋体" w:eastAsia="宋体" w:cs="宋体"/>
                <w:color w:val="auto"/>
                <w:sz w:val="21"/>
                <w:szCs w:val="21"/>
                <w:highlight w:val="none"/>
                <w:lang w:bidi="zh-TW"/>
              </w:rPr>
              <w:t>PE100）</w:t>
            </w:r>
            <w:r>
              <w:rPr>
                <w:rFonts w:hint="eastAsia" w:ascii="宋体" w:hAnsi="宋体" w:eastAsia="宋体" w:cs="宋体"/>
                <w:color w:val="auto"/>
                <w:sz w:val="21"/>
                <w:szCs w:val="21"/>
                <w:highlight w:val="none"/>
                <w:lang w:val="zh-TW" w:bidi="zh-TW"/>
              </w:rPr>
              <w:t>；</w:t>
            </w:r>
          </w:p>
          <w:p>
            <w:pPr>
              <w:pStyle w:val="123"/>
              <w:keepNext w:val="0"/>
              <w:keepLines w:val="0"/>
              <w:pageBreakBefore w:val="0"/>
              <w:widowControl w:val="0"/>
              <w:numPr>
                <w:ilvl w:val="0"/>
                <w:numId w:val="9"/>
              </w:numPr>
              <w:tabs>
                <w:tab w:val="left" w:pos="987"/>
              </w:tabs>
              <w:kinsoku/>
              <w:wordWrap/>
              <w:overflowPunct/>
              <w:topLinePunct w:val="0"/>
              <w:autoSpaceDE/>
              <w:autoSpaceDN/>
              <w:bidi w:val="0"/>
              <w:adjustRightInd/>
              <w:snapToGrid/>
              <w:spacing w:line="260" w:lineRule="atLeast"/>
              <w:ind w:left="0"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zh-TW" w:eastAsia="zh-TW" w:bidi="zh-TW"/>
              </w:rPr>
              <w:t>熔体质量流动速率差值大于等于</w:t>
            </w:r>
            <w:r>
              <w:rPr>
                <w:rFonts w:hint="eastAsia" w:ascii="宋体" w:hAnsi="宋体" w:eastAsia="宋体" w:cs="宋体"/>
                <w:color w:val="auto"/>
                <w:sz w:val="21"/>
                <w:szCs w:val="21"/>
                <w:highlight w:val="none"/>
                <w:lang w:eastAsia="zh-TW" w:bidi="zh-TW"/>
              </w:rPr>
              <w:t>0.5g/10min（190℃</w:t>
            </w:r>
            <w:r>
              <w:rPr>
                <w:rFonts w:hint="eastAsia" w:ascii="宋体" w:hAnsi="宋体" w:eastAsia="宋体" w:cs="宋体"/>
                <w:color w:val="auto"/>
                <w:sz w:val="21"/>
                <w:szCs w:val="21"/>
                <w:highlight w:val="none"/>
                <w:lang w:eastAsia="zh-CN" w:bidi="zh-TW"/>
              </w:rPr>
              <w:t>，</w:t>
            </w:r>
            <w:r>
              <w:rPr>
                <w:rFonts w:hint="eastAsia" w:ascii="宋体" w:hAnsi="宋体" w:eastAsia="宋体" w:cs="宋体"/>
                <w:color w:val="auto"/>
                <w:sz w:val="21"/>
                <w:szCs w:val="21"/>
                <w:highlight w:val="none"/>
                <w:lang w:eastAsia="zh-TW" w:bidi="zh-TW"/>
              </w:rPr>
              <w:t>5kg）；</w:t>
            </w:r>
          </w:p>
          <w:p>
            <w:pPr>
              <w:pStyle w:val="123"/>
              <w:keepNext w:val="0"/>
              <w:keepLines w:val="0"/>
              <w:pageBreakBefore w:val="0"/>
              <w:widowControl w:val="0"/>
              <w:numPr>
                <w:ilvl w:val="0"/>
                <w:numId w:val="9"/>
              </w:numPr>
              <w:tabs>
                <w:tab w:val="left" w:pos="987"/>
              </w:tabs>
              <w:kinsoku/>
              <w:wordWrap/>
              <w:overflowPunct/>
              <w:topLinePunct w:val="0"/>
              <w:autoSpaceDE/>
              <w:autoSpaceDN/>
              <w:bidi w:val="0"/>
              <w:adjustRightInd/>
              <w:snapToGrid/>
              <w:spacing w:line="260" w:lineRule="atLeast"/>
              <w:ind w:left="0" w:firstLine="420" w:firstLineChars="200"/>
              <w:jc w:val="left"/>
              <w:textAlignment w:val="auto"/>
              <w:rPr>
                <w:rFonts w:hint="eastAsia" w:ascii="宋体" w:hAnsi="宋体" w:eastAsia="宋体" w:cs="宋体"/>
                <w:color w:val="auto"/>
                <w:sz w:val="21"/>
                <w:szCs w:val="21"/>
                <w:highlight w:val="none"/>
                <w:lang w:val="en-US" w:bidi="en-US"/>
              </w:rPr>
            </w:pPr>
            <w:r>
              <w:rPr>
                <w:rFonts w:hint="eastAsia" w:ascii="宋体" w:hAnsi="宋体" w:eastAsia="宋体" w:cs="宋体"/>
                <w:color w:val="auto"/>
                <w:sz w:val="21"/>
                <w:szCs w:val="21"/>
                <w:highlight w:val="none"/>
              </w:rPr>
              <w:t>焊接端部标准尺寸比（</w:t>
            </w:r>
            <w:r>
              <w:rPr>
                <w:rFonts w:hint="eastAsia" w:ascii="宋体" w:hAnsi="宋体" w:eastAsia="宋体" w:cs="宋体"/>
                <w:color w:val="auto"/>
                <w:sz w:val="21"/>
                <w:szCs w:val="21"/>
                <w:highlight w:val="none"/>
                <w:lang w:val="en-US" w:bidi="en-US"/>
              </w:rPr>
              <w:t>SDR）</w:t>
            </w:r>
            <w:r>
              <w:rPr>
                <w:rFonts w:hint="eastAsia" w:ascii="宋体" w:hAnsi="宋体" w:eastAsia="宋体" w:cs="宋体"/>
                <w:color w:val="auto"/>
                <w:sz w:val="21"/>
                <w:szCs w:val="21"/>
                <w:highlight w:val="none"/>
              </w:rPr>
              <w:t>不同；</w:t>
            </w:r>
          </w:p>
          <w:p>
            <w:pPr>
              <w:pStyle w:val="123"/>
              <w:keepNext w:val="0"/>
              <w:keepLines w:val="0"/>
              <w:pageBreakBefore w:val="0"/>
              <w:widowControl w:val="0"/>
              <w:numPr>
                <w:ilvl w:val="0"/>
                <w:numId w:val="9"/>
              </w:numPr>
              <w:tabs>
                <w:tab w:val="left" w:pos="987"/>
              </w:tabs>
              <w:kinsoku/>
              <w:wordWrap/>
              <w:overflowPunct/>
              <w:topLinePunct w:val="0"/>
              <w:autoSpaceDE/>
              <w:autoSpaceDN/>
              <w:bidi w:val="0"/>
              <w:adjustRightInd/>
              <w:snapToGrid/>
              <w:spacing w:line="260" w:lineRule="atLeast"/>
              <w:ind w:left="0" w:firstLine="420" w:firstLineChars="200"/>
              <w:jc w:val="left"/>
              <w:textAlignment w:val="auto"/>
              <w:rPr>
                <w:rFonts w:hint="eastAsia" w:ascii="宋体" w:hAnsi="宋体" w:eastAsia="宋体" w:cs="宋体"/>
                <w:color w:val="auto"/>
                <w:sz w:val="21"/>
                <w:szCs w:val="21"/>
                <w:highlight w:val="none"/>
                <w:lang w:val="en-US" w:bidi="en-US"/>
              </w:rPr>
            </w:pPr>
            <w:r>
              <w:rPr>
                <w:rFonts w:hint="eastAsia" w:ascii="宋体" w:hAnsi="宋体" w:eastAsia="宋体" w:cs="宋体"/>
                <w:color w:val="auto"/>
                <w:sz w:val="21"/>
                <w:szCs w:val="21"/>
                <w:highlight w:val="none"/>
              </w:rPr>
              <w:t>公称外径小于</w:t>
            </w:r>
            <w:r>
              <w:rPr>
                <w:rFonts w:hint="eastAsia" w:ascii="宋体" w:hAnsi="宋体" w:eastAsia="宋体" w:cs="宋体"/>
                <w:color w:val="auto"/>
                <w:sz w:val="21"/>
                <w:szCs w:val="21"/>
                <w:highlight w:val="none"/>
                <w:lang w:val="en-US"/>
              </w:rPr>
              <w:t>90mm</w:t>
            </w:r>
            <w:r>
              <w:rPr>
                <w:rFonts w:hint="eastAsia" w:ascii="宋体" w:hAnsi="宋体" w:eastAsia="宋体" w:cs="宋体"/>
                <w:color w:val="auto"/>
                <w:sz w:val="21"/>
                <w:szCs w:val="21"/>
                <w:highlight w:val="none"/>
              </w:rPr>
              <w:t>或壁厚小于</w:t>
            </w:r>
            <w:r>
              <w:rPr>
                <w:rFonts w:hint="eastAsia" w:ascii="宋体" w:hAnsi="宋体" w:eastAsia="宋体" w:cs="宋体"/>
                <w:color w:val="auto"/>
                <w:sz w:val="21"/>
                <w:szCs w:val="21"/>
                <w:highlight w:val="none"/>
                <w:lang w:val="en-US"/>
              </w:rPr>
              <w:t>6mm</w:t>
            </w:r>
            <w:r>
              <w:rPr>
                <w:rFonts w:hint="eastAsia" w:ascii="宋体" w:hAnsi="宋体" w:eastAsia="宋体" w:cs="宋体"/>
                <w:color w:val="auto"/>
                <w:sz w:val="21"/>
                <w:szCs w:val="21"/>
                <w:highlight w:val="none"/>
                <w:lang w:val="en-US" w:bidi="en-US"/>
              </w:rPr>
              <w:t>。</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5.1.3 </w:t>
            </w:r>
            <w:r>
              <w:rPr>
                <w:rFonts w:hint="eastAsia" w:ascii="宋体" w:hAnsi="宋体" w:eastAsia="宋体" w:cs="宋体"/>
                <w:color w:val="auto"/>
                <w:sz w:val="21"/>
                <w:szCs w:val="21"/>
                <w:highlight w:val="none"/>
              </w:rPr>
              <w:t>聚乙烯燃气管道连接应根据不同连接形式选用专用的</w:t>
            </w:r>
            <w:r>
              <w:rPr>
                <w:rFonts w:hint="eastAsia" w:ascii="宋体" w:hAnsi="宋体" w:eastAsia="宋体" w:cs="宋体"/>
                <w:color w:val="auto"/>
                <w:sz w:val="21"/>
                <w:szCs w:val="21"/>
                <w:highlight w:val="none"/>
                <w:lang w:eastAsia="zh-CN"/>
              </w:rPr>
              <w:t>熔</w:t>
            </w:r>
            <w:r>
              <w:rPr>
                <w:rFonts w:hint="eastAsia" w:ascii="宋体" w:hAnsi="宋体" w:eastAsia="宋体" w:cs="宋体"/>
                <w:color w:val="auto"/>
                <w:sz w:val="21"/>
                <w:szCs w:val="21"/>
                <w:highlight w:val="none"/>
              </w:rPr>
              <w:t>接设备。连接时，严禁采用明火加热。热熔对接熔接设备应符合现行国家标准《塑料管材和管件聚乙烯系统熔接设备第1部分：热焰对接》</w:t>
            </w:r>
            <w:r>
              <w:rPr>
                <w:rFonts w:hint="eastAsia" w:ascii="宋体" w:hAnsi="宋体" w:eastAsia="宋体" w:cs="宋体"/>
                <w:color w:val="auto"/>
                <w:sz w:val="21"/>
                <w:szCs w:val="21"/>
                <w:highlight w:val="none"/>
                <w:lang w:val="en-US" w:eastAsia="zh-CN" w:bidi="en-US"/>
              </w:rPr>
              <w:t>GB/T</w:t>
            </w:r>
            <w:r>
              <w:rPr>
                <w:rFonts w:hint="eastAsia" w:ascii="宋体" w:hAnsi="宋体" w:eastAsia="宋体" w:cs="宋体"/>
                <w:color w:val="auto"/>
                <w:sz w:val="21"/>
                <w:szCs w:val="21"/>
                <w:highlight w:val="none"/>
                <w:lang w:val="en-US" w:eastAsia="zh-CN" w:bidi="en-US"/>
              </w:rPr>
              <w:t>20674.1</w:t>
            </w:r>
            <w:r>
              <w:rPr>
                <w:rFonts w:hint="eastAsia" w:ascii="宋体" w:hAnsi="宋体" w:eastAsia="宋体" w:cs="宋体"/>
                <w:color w:val="auto"/>
                <w:sz w:val="21"/>
                <w:szCs w:val="21"/>
                <w:highlight w:val="none"/>
              </w:rPr>
              <w:t>的有关规定；电橢连接熔接设备应符合现行国家标准《塑料管材和管件聚乙烯系统橢接设备第2部分：电熔连接》</w:t>
            </w:r>
            <w:r>
              <w:rPr>
                <w:rFonts w:hint="eastAsia" w:ascii="宋体" w:hAnsi="宋体" w:eastAsia="宋体" w:cs="宋体"/>
                <w:color w:val="auto"/>
                <w:sz w:val="21"/>
                <w:szCs w:val="21"/>
                <w:highlight w:val="none"/>
                <w:lang w:val="en-US" w:eastAsia="zh-CN" w:bidi="en-US"/>
              </w:rPr>
              <w:t>GB/T</w:t>
            </w:r>
            <w:r>
              <w:rPr>
                <w:rFonts w:hint="eastAsia" w:ascii="宋体" w:hAnsi="宋体" w:eastAsia="宋体" w:cs="宋体"/>
                <w:color w:val="auto"/>
                <w:sz w:val="21"/>
                <w:szCs w:val="21"/>
                <w:highlight w:val="none"/>
                <w:lang w:val="en-US" w:eastAsia="zh-CN" w:bidi="en-US"/>
              </w:rPr>
              <w:t>20674.</w:t>
            </w:r>
            <w:r>
              <w:rPr>
                <w:rFonts w:hint="eastAsia" w:ascii="宋体" w:hAnsi="宋体" w:eastAsia="宋体" w:cs="宋体"/>
                <w:color w:val="auto"/>
                <w:sz w:val="21"/>
                <w:szCs w:val="21"/>
                <w:highlight w:val="none"/>
              </w:rPr>
              <w:t>2的有关规定。熔接设备应定期进行校准和检定，周期不应超过1年。对于电压不稳定区域应增加稳压装置。</w:t>
            </w:r>
          </w:p>
          <w:p>
            <w:pPr>
              <w:pStyle w:val="115"/>
              <w:keepNext w:val="0"/>
              <w:keepLines w:val="0"/>
              <w:pageBreakBefore w:val="0"/>
              <w:kinsoku/>
              <w:wordWrap/>
              <w:overflowPunct/>
              <w:topLinePunct w:val="0"/>
              <w:autoSpaceDE/>
              <w:autoSpaceDN/>
              <w:bidi w:val="0"/>
              <w:spacing w:line="260" w:lineRule="atLeast"/>
              <w:ind w:left="0" w:hanging="210" w:hanging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 xml:space="preserve">5.1.4 </w:t>
            </w:r>
            <w:r>
              <w:rPr>
                <w:rFonts w:hint="eastAsia" w:ascii="宋体" w:hAnsi="宋体" w:eastAsia="宋体" w:cs="宋体"/>
                <w:color w:val="auto"/>
                <w:sz w:val="21"/>
                <w:szCs w:val="21"/>
                <w:highlight w:val="none"/>
              </w:rPr>
              <w:t>聚乙烯燃气管道热</w:t>
            </w:r>
            <w:r>
              <w:rPr>
                <w:rFonts w:hint="eastAsia" w:ascii="宋体" w:hAnsi="宋体" w:eastAsia="宋体" w:cs="宋体"/>
                <w:color w:val="auto"/>
                <w:sz w:val="21"/>
                <w:szCs w:val="21"/>
                <w:highlight w:val="none"/>
                <w:lang w:eastAsia="zh-CN"/>
              </w:rPr>
              <w:t>熔</w:t>
            </w:r>
            <w:r>
              <w:rPr>
                <w:rFonts w:hint="eastAsia" w:ascii="宋体" w:hAnsi="宋体" w:eastAsia="宋体" w:cs="宋体"/>
                <w:color w:val="auto"/>
                <w:sz w:val="21"/>
                <w:szCs w:val="21"/>
                <w:highlight w:val="none"/>
              </w:rPr>
              <w:t>连接或电熔连接的环境温度宜在</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val="en-US" w:eastAsia="zh-CN" w:bidi="en-US"/>
              </w:rPr>
              <w:t>℃</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bidi="en-US"/>
              </w:rPr>
              <w:t>40℃</w:t>
            </w:r>
            <w:r>
              <w:rPr>
                <w:rFonts w:hint="eastAsia" w:ascii="宋体" w:hAnsi="宋体" w:eastAsia="宋体" w:cs="宋体"/>
                <w:color w:val="auto"/>
                <w:sz w:val="21"/>
                <w:szCs w:val="21"/>
                <w:highlight w:val="none"/>
              </w:rPr>
              <w:t>范围内，并应符合下列规定：</w:t>
            </w:r>
          </w:p>
          <w:p>
            <w:pPr>
              <w:pStyle w:val="115"/>
              <w:keepNext w:val="0"/>
              <w:keepLines w:val="0"/>
              <w:pageBreakBefore w:val="0"/>
              <w:kinsoku/>
              <w:wordWrap/>
              <w:overflowPunct/>
              <w:topLinePunct w:val="0"/>
              <w:autoSpaceDE/>
              <w:autoSpaceDN/>
              <w:bidi w:val="0"/>
              <w:spacing w:line="260" w:lineRule="atLeast"/>
              <w:ind w:left="210" w:leftChars="10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当环境温度低于</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lang w:val="en-US" w:eastAsia="zh-CN" w:bidi="en-US"/>
              </w:rPr>
              <w:t>5'C</w:t>
            </w:r>
            <w:r>
              <w:rPr>
                <w:rFonts w:hint="eastAsia" w:ascii="宋体" w:hAnsi="宋体" w:eastAsia="宋体" w:cs="宋体"/>
                <w:color w:val="auto"/>
                <w:sz w:val="21"/>
                <w:szCs w:val="21"/>
                <w:highlight w:val="none"/>
              </w:rPr>
              <w:t>时，应</w:t>
            </w:r>
            <w:r>
              <w:rPr>
                <w:rFonts w:hint="eastAsia" w:ascii="宋体" w:hAnsi="宋体" w:eastAsia="宋体" w:cs="宋体"/>
                <w:color w:val="auto"/>
                <w:sz w:val="21"/>
                <w:szCs w:val="21"/>
                <w:highlight w:val="none"/>
                <w:lang w:eastAsia="zh-CN"/>
              </w:rPr>
              <w:t>采取</w:t>
            </w:r>
            <w:r>
              <w:rPr>
                <w:rFonts w:hint="eastAsia" w:ascii="宋体" w:hAnsi="宋体" w:eastAsia="宋体" w:cs="宋体"/>
                <w:color w:val="auto"/>
                <w:sz w:val="21"/>
                <w:szCs w:val="21"/>
                <w:highlight w:val="none"/>
              </w:rPr>
              <w:t>保温措施；</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当风力大于5级时，应采取防风措施；</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夏季应采取遮阳措施；</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雨天应采取防雨措施。</w:t>
            </w:r>
          </w:p>
          <w:p>
            <w:pPr>
              <w:pStyle w:val="115"/>
              <w:keepNext w:val="0"/>
              <w:keepLines w:val="0"/>
              <w:pageBreakBefore w:val="0"/>
              <w:tabs>
                <w:tab w:val="left" w:pos="1000"/>
              </w:tabs>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5.1.5</w:t>
            </w:r>
            <w:r>
              <w:rPr>
                <w:rFonts w:hint="eastAsia" w:ascii="宋体" w:hAnsi="宋体" w:eastAsia="宋体" w:cs="宋体"/>
                <w:color w:val="auto"/>
                <w:sz w:val="21"/>
                <w:szCs w:val="21"/>
                <w:highlight w:val="none"/>
                <w:lang w:val="en-US" w:eastAsia="zh-CN" w:bidi="en-US"/>
              </w:rPr>
              <w:t xml:space="preserve"> </w:t>
            </w:r>
            <w:r>
              <w:rPr>
                <w:rFonts w:hint="eastAsia" w:ascii="宋体" w:hAnsi="宋体" w:eastAsia="宋体" w:cs="宋体"/>
                <w:color w:val="auto"/>
                <w:sz w:val="21"/>
                <w:szCs w:val="21"/>
                <w:highlight w:val="none"/>
              </w:rPr>
              <w:t>聚乙烯管道连接时，管材的切割应采用专用割刀或切管工具，切割端面应垂直于管道轴线，并应平整、光滑、无毛刺。</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 xml:space="preserve">5.5.3 </w:t>
            </w:r>
            <w:r>
              <w:rPr>
                <w:rFonts w:hint="eastAsia" w:ascii="宋体" w:hAnsi="宋体" w:eastAsia="宋体" w:cs="宋体"/>
                <w:color w:val="auto"/>
                <w:sz w:val="21"/>
                <w:szCs w:val="21"/>
                <w:highlight w:val="none"/>
              </w:rPr>
              <w:t>钢塑转换管件的钢管端与钢管焊接时，应对钢塑过渡段采取降温措施。</w:t>
            </w:r>
          </w:p>
          <w:p>
            <w:pPr>
              <w:pStyle w:val="115"/>
              <w:keepNext w:val="0"/>
              <w:keepLines w:val="0"/>
              <w:pageBreakBefore w:val="0"/>
              <w:tabs>
                <w:tab w:val="left" w:pos="1000"/>
              </w:tabs>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 xml:space="preserve">5.5.4 </w:t>
            </w:r>
            <w:r>
              <w:rPr>
                <w:rFonts w:hint="eastAsia" w:ascii="宋体" w:hAnsi="宋体" w:eastAsia="宋体" w:cs="宋体"/>
                <w:color w:val="auto"/>
                <w:sz w:val="21"/>
                <w:szCs w:val="21"/>
                <w:highlight w:val="none"/>
              </w:rPr>
              <w:t>钢塑转换管件连接后应对接头进行防腐处理，防腐等级应</w:t>
            </w:r>
            <w:r>
              <w:rPr>
                <w:rFonts w:hint="eastAsia" w:ascii="宋体" w:hAnsi="宋体" w:eastAsia="宋体" w:cs="宋体"/>
                <w:color w:val="auto"/>
                <w:sz w:val="21"/>
                <w:szCs w:val="21"/>
                <w:highlight w:val="none"/>
                <w:lang w:eastAsia="zh-CN"/>
              </w:rPr>
              <w:t>满足</w:t>
            </w:r>
            <w:r>
              <w:rPr>
                <w:rFonts w:hint="eastAsia" w:ascii="宋体" w:hAnsi="宋体" w:eastAsia="宋体" w:cs="宋体"/>
                <w:color w:val="auto"/>
                <w:sz w:val="21"/>
                <w:szCs w:val="21"/>
                <w:highlight w:val="none"/>
              </w:rPr>
              <w:t>设计要求，并应检验合格。</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zh-CN" w:bidi="zh-CN"/>
              </w:rPr>
              <w:t>6.</w:t>
            </w:r>
            <w:r>
              <w:rPr>
                <w:rFonts w:hint="eastAsia" w:ascii="宋体" w:hAnsi="宋体" w:eastAsia="宋体" w:cs="宋体"/>
                <w:color w:val="auto"/>
                <w:sz w:val="21"/>
                <w:szCs w:val="21"/>
                <w:highlight w:val="none"/>
                <w:lang w:bidi="en-US"/>
              </w:rPr>
              <w:t>4.</w:t>
            </w:r>
            <w:r>
              <w:rPr>
                <w:rFonts w:hint="eastAsia" w:ascii="宋体" w:hAnsi="宋体" w:eastAsia="宋体" w:cs="宋体"/>
                <w:color w:val="auto"/>
                <w:sz w:val="21"/>
                <w:szCs w:val="21"/>
                <w:highlight w:val="none"/>
                <w:lang w:val="zh-CN" w:bidi="zh-CN"/>
              </w:rPr>
              <w:t>6</w:t>
            </w:r>
            <w:r>
              <w:rPr>
                <w:rFonts w:hint="eastAsia" w:ascii="宋体" w:hAnsi="宋体" w:eastAsia="宋体" w:cs="宋体"/>
                <w:color w:val="auto"/>
                <w:sz w:val="21"/>
                <w:szCs w:val="21"/>
                <w:highlight w:val="none"/>
                <w:lang w:bidi="zh-CN"/>
              </w:rPr>
              <w:t xml:space="preserve"> </w:t>
            </w:r>
            <w:r>
              <w:rPr>
                <w:rFonts w:hint="eastAsia" w:ascii="宋体" w:hAnsi="宋体" w:eastAsia="宋体" w:cs="宋体"/>
                <w:color w:val="auto"/>
                <w:sz w:val="21"/>
                <w:szCs w:val="21"/>
                <w:highlight w:val="none"/>
              </w:rPr>
              <w:t>对于埋深无法满足本标准第</w:t>
            </w:r>
            <w:r>
              <w:rPr>
                <w:rFonts w:hint="eastAsia" w:ascii="宋体" w:hAnsi="宋体" w:eastAsia="宋体" w:cs="宋体"/>
                <w:color w:val="auto"/>
                <w:sz w:val="21"/>
                <w:szCs w:val="21"/>
                <w:highlight w:val="none"/>
                <w:lang w:bidi="en-US"/>
              </w:rPr>
              <w:t>4.3.3</w:t>
            </w:r>
            <w:r>
              <w:rPr>
                <w:rFonts w:hint="eastAsia" w:ascii="宋体" w:hAnsi="宋体" w:eastAsia="宋体" w:cs="宋体"/>
                <w:color w:val="auto"/>
                <w:sz w:val="21"/>
                <w:szCs w:val="21"/>
                <w:highlight w:val="none"/>
              </w:rPr>
              <w:t>条要求的中压和低压庭院管道，可采取砌筑沟槽保护等方法</w:t>
            </w:r>
            <w:r>
              <w:rPr>
                <w:rFonts w:hint="eastAsia" w:ascii="宋体" w:hAnsi="宋体" w:eastAsia="宋体" w:cs="宋体"/>
                <w:color w:val="auto"/>
                <w:sz w:val="21"/>
                <w:szCs w:val="21"/>
                <w:highlight w:val="none"/>
                <w:lang w:val="zh-CN" w:bidi="zh-CN"/>
              </w:rPr>
              <w:t>敷设，</w:t>
            </w:r>
            <w:r>
              <w:rPr>
                <w:rFonts w:hint="eastAsia" w:ascii="宋体" w:hAnsi="宋体" w:eastAsia="宋体" w:cs="宋体"/>
                <w:color w:val="auto"/>
                <w:sz w:val="21"/>
                <w:szCs w:val="21"/>
                <w:highlight w:val="none"/>
              </w:rPr>
              <w:t>当采用砌筑</w:t>
            </w:r>
            <w:r>
              <w:rPr>
                <w:rFonts w:hint="eastAsia" w:ascii="宋体" w:hAnsi="宋体" w:eastAsia="宋体" w:cs="宋体"/>
                <w:color w:val="auto"/>
                <w:sz w:val="21"/>
                <w:szCs w:val="21"/>
                <w:highlight w:val="none"/>
                <w:lang w:eastAsia="zh-CN"/>
              </w:rPr>
              <w:t>沟槽</w:t>
            </w:r>
            <w:r>
              <w:rPr>
                <w:rFonts w:hint="eastAsia" w:ascii="宋体" w:hAnsi="宋体" w:eastAsia="宋体" w:cs="宋体"/>
                <w:color w:val="auto"/>
                <w:sz w:val="21"/>
                <w:szCs w:val="21"/>
                <w:highlight w:val="none"/>
              </w:rPr>
              <w:t>方式敷设时，沟槽中的管道应自然蜿蜒敷设，且管道四周的沟槽内应填满砂，沟槽上部应加设盖板。对于高出地表的沟槽应加设醒目标志。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3.2.3.6</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埋地管道敷设</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聚乙烯燃气管道的热熔焊接应符合设计和相关标准要求。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《聚乙烯燃气管道工程技术标准》CJJ63-2018</w:t>
            </w:r>
          </w:p>
        </w:tc>
        <w:tc>
          <w:tcPr>
            <w:tcW w:w="11060" w:type="dxa"/>
            <w:vAlign w:val="center"/>
          </w:tcPr>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 xml:space="preserve">5.2.2 </w:t>
            </w:r>
            <w:r>
              <w:rPr>
                <w:rFonts w:hint="eastAsia" w:ascii="宋体" w:hAnsi="宋体" w:eastAsia="宋体" w:cs="宋体"/>
                <w:color w:val="auto"/>
                <w:sz w:val="21"/>
                <w:szCs w:val="21"/>
                <w:highlight w:val="none"/>
              </w:rPr>
              <w:t>热熔对接连接的操作应符合下列规定</w:t>
            </w:r>
            <w:r>
              <w:rPr>
                <w:rFonts w:hint="eastAsia" w:ascii="宋体" w:hAnsi="宋体" w:eastAsia="宋体" w:cs="宋体"/>
                <w:color w:val="auto"/>
                <w:sz w:val="21"/>
                <w:szCs w:val="21"/>
                <w:highlight w:val="none"/>
                <w:lang w:val="zh-CN" w:eastAsia="zh-CN" w:bidi="zh-CN"/>
              </w:rPr>
              <w:t>：</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应根据聚乙烯管材、管件或阀门的规格选用适应的机架和夹具。</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在固定连接件时，应将连接件的连接端伸出夹具，伸出的自由长度不应小于公称外径的10%。</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移动夹具应使待连接件的端面接触，并应校直到同一轴线上，错边量不应大于壁厚的10%。</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连接部位应擦净，并应保持干燥，待连接件端面应进行</w:t>
            </w:r>
            <w:r>
              <w:rPr>
                <w:rFonts w:hint="eastAsia" w:ascii="宋体" w:hAnsi="宋体" w:eastAsia="宋体" w:cs="宋体"/>
                <w:color w:val="auto"/>
                <w:sz w:val="21"/>
                <w:szCs w:val="21"/>
                <w:highlight w:val="none"/>
                <w:lang w:eastAsia="zh-CN"/>
              </w:rPr>
              <w:t>铣</w:t>
            </w:r>
            <w:r>
              <w:rPr>
                <w:rFonts w:hint="eastAsia" w:ascii="宋体" w:hAnsi="宋体" w:eastAsia="宋体" w:cs="宋体"/>
                <w:color w:val="auto"/>
                <w:sz w:val="21"/>
                <w:szCs w:val="21"/>
                <w:highlight w:val="none"/>
              </w:rPr>
              <w:t>削，使其与轴线垂直。连续切屑的平均厚度不宜大于</w:t>
            </w:r>
            <w:r>
              <w:rPr>
                <w:rFonts w:hint="eastAsia" w:ascii="宋体" w:hAnsi="宋体" w:eastAsia="宋体" w:cs="宋体"/>
                <w:color w:val="auto"/>
                <w:sz w:val="21"/>
                <w:szCs w:val="21"/>
                <w:highlight w:val="none"/>
                <w:lang w:val="en-US" w:eastAsia="zh-CN" w:bidi="en-US"/>
              </w:rPr>
              <w:t>0.2mm，铣</w:t>
            </w:r>
            <w:r>
              <w:rPr>
                <w:rFonts w:hint="eastAsia" w:ascii="宋体" w:hAnsi="宋体" w:eastAsia="宋体" w:cs="宋体"/>
                <w:color w:val="auto"/>
                <w:sz w:val="21"/>
                <w:szCs w:val="21"/>
                <w:highlight w:val="none"/>
              </w:rPr>
              <w:t>削后的熔接面应保持洁净。</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lang w:eastAsia="zh-CN"/>
              </w:rPr>
              <w:t>铣</w:t>
            </w:r>
            <w:r>
              <w:rPr>
                <w:rFonts w:hint="eastAsia" w:ascii="宋体" w:hAnsi="宋体" w:eastAsia="宋体" w:cs="宋体"/>
                <w:color w:val="auto"/>
                <w:sz w:val="21"/>
                <w:szCs w:val="21"/>
                <w:highlight w:val="none"/>
              </w:rPr>
              <w:t>削完成后，移动夹具应使待连接件对接管口闭合。待连接件的错边量不应大于壁厚的10%，且接口端面对接面最大间隙应符合表</w:t>
            </w:r>
            <w:r>
              <w:rPr>
                <w:rFonts w:hint="eastAsia" w:ascii="宋体" w:hAnsi="宋体" w:eastAsia="宋体" w:cs="宋体"/>
                <w:color w:val="auto"/>
                <w:sz w:val="21"/>
                <w:szCs w:val="21"/>
                <w:highlight w:val="none"/>
                <w:lang w:val="en-US" w:eastAsia="zh-CN" w:bidi="en-US"/>
              </w:rPr>
              <w:t>5</w:t>
            </w:r>
            <w:r>
              <w:rPr>
                <w:rFonts w:hint="eastAsia" w:ascii="宋体" w:hAnsi="宋体" w:eastAsia="宋体" w:cs="宋体"/>
                <w:color w:val="auto"/>
                <w:sz w:val="21"/>
                <w:szCs w:val="21"/>
                <w:highlight w:val="none"/>
                <w:lang w:val="en-US" w:eastAsia="zh-CN" w:bidi="en-US"/>
              </w:rPr>
              <w:t>.</w:t>
            </w:r>
            <w:r>
              <w:rPr>
                <w:rFonts w:hint="eastAsia" w:ascii="宋体" w:hAnsi="宋体" w:eastAsia="宋体" w:cs="宋体"/>
                <w:color w:val="auto"/>
                <w:sz w:val="21"/>
                <w:szCs w:val="21"/>
                <w:highlight w:val="none"/>
                <w:lang w:val="en-US" w:eastAsia="zh-CN" w:bidi="en-US"/>
              </w:rPr>
              <w:t>2</w:t>
            </w:r>
            <w:r>
              <w:rPr>
                <w:rFonts w:hint="eastAsia" w:ascii="宋体" w:hAnsi="宋体" w:eastAsia="宋体" w:cs="宋体"/>
                <w:color w:val="auto"/>
                <w:sz w:val="21"/>
                <w:szCs w:val="21"/>
                <w:highlight w:val="none"/>
                <w:lang w:val="en-US" w:eastAsia="zh-CN" w:bidi="en-US"/>
              </w:rPr>
              <w:t>.</w:t>
            </w:r>
            <w:r>
              <w:rPr>
                <w:rFonts w:hint="eastAsia" w:ascii="宋体" w:hAnsi="宋体" w:eastAsia="宋体" w:cs="宋体"/>
                <w:color w:val="auto"/>
                <w:sz w:val="21"/>
                <w:szCs w:val="21"/>
                <w:highlight w:val="none"/>
              </w:rPr>
              <w:t>2的规定。</w:t>
            </w:r>
            <w:r>
              <w:rPr>
                <w:rFonts w:hint="eastAsia" w:ascii="宋体" w:hAnsi="宋体" w:eastAsia="宋体" w:cs="宋体"/>
                <w:color w:val="auto"/>
                <w:sz w:val="21"/>
                <w:szCs w:val="21"/>
                <w:highlight w:val="none"/>
              </w:rPr>
              <w:br w:type="page"/>
            </w:r>
          </w:p>
          <w:p>
            <w:pPr>
              <w:pStyle w:val="122"/>
              <w:keepNext w:val="0"/>
              <w:keepLines w:val="0"/>
              <w:pageBreakBefore w:val="0"/>
              <w:kinsoku/>
              <w:wordWrap/>
              <w:overflowPunct/>
              <w:topLinePunct w:val="0"/>
              <w:autoSpaceDE/>
              <w:autoSpaceDN/>
              <w:bidi w:val="0"/>
              <w:spacing w:line="260" w:lineRule="atLeast"/>
              <w:ind w:left="0" w:firstLine="1260" w:firstLineChars="60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表</w:t>
            </w:r>
            <w:r>
              <w:rPr>
                <w:rFonts w:hint="eastAsia" w:ascii="宋体" w:hAnsi="宋体" w:eastAsia="宋体" w:cs="宋体"/>
                <w:color w:val="auto"/>
                <w:sz w:val="21"/>
                <w:szCs w:val="21"/>
                <w:highlight w:val="none"/>
                <w:lang w:val="en-US" w:eastAsia="zh-CN" w:bidi="en-US"/>
              </w:rPr>
              <w:t>5.2.</w:t>
            </w:r>
            <w:r>
              <w:rPr>
                <w:rFonts w:hint="eastAsia" w:ascii="宋体" w:hAnsi="宋体" w:eastAsia="宋体" w:cs="宋体"/>
                <w:color w:val="auto"/>
                <w:sz w:val="21"/>
                <w:szCs w:val="21"/>
                <w:highlight w:val="none"/>
                <w:lang w:val="zh-CN" w:eastAsia="zh-CN" w:bidi="zh-CN"/>
              </w:rPr>
              <w:t>2</w:t>
            </w:r>
            <w:r>
              <w:rPr>
                <w:rFonts w:hint="eastAsia" w:ascii="宋体" w:hAnsi="宋体" w:eastAsia="宋体" w:cs="宋体"/>
                <w:color w:val="auto"/>
                <w:sz w:val="21"/>
                <w:szCs w:val="21"/>
                <w:highlight w:val="none"/>
                <w:lang w:val="en-US" w:eastAsia="zh-CN" w:bidi="zh-CN"/>
              </w:rPr>
              <w:t xml:space="preserve"> </w:t>
            </w:r>
            <w:r>
              <w:rPr>
                <w:rFonts w:hint="eastAsia" w:ascii="宋体" w:hAnsi="宋体" w:eastAsia="宋体" w:cs="宋体"/>
                <w:color w:val="auto"/>
                <w:sz w:val="21"/>
                <w:szCs w:val="21"/>
                <w:highlight w:val="none"/>
              </w:rPr>
              <w:t>接口端面对接面最大间隙</w:t>
            </w:r>
          </w:p>
          <w:tbl>
            <w:tblPr>
              <w:tblStyle w:val="20"/>
              <w:tblW w:w="4999" w:type="pct"/>
              <w:jc w:val="center"/>
              <w:tblLayout w:type="autofit"/>
              <w:tblCellMar>
                <w:top w:w="0" w:type="dxa"/>
                <w:left w:w="10" w:type="dxa"/>
                <w:bottom w:w="0" w:type="dxa"/>
                <w:right w:w="10" w:type="dxa"/>
              </w:tblCellMar>
            </w:tblPr>
            <w:tblGrid>
              <w:gridCol w:w="5095"/>
              <w:gridCol w:w="5747"/>
            </w:tblGrid>
            <w:tr>
              <w:tblPrEx>
                <w:tblCellMar>
                  <w:top w:w="0" w:type="dxa"/>
                  <w:left w:w="10" w:type="dxa"/>
                  <w:bottom w:w="0" w:type="dxa"/>
                  <w:right w:w="10" w:type="dxa"/>
                </w:tblCellMar>
              </w:tblPrEx>
              <w:trPr>
                <w:trHeight w:val="354" w:hRule="exact"/>
                <w:jc w:val="center"/>
              </w:trPr>
              <w:tc>
                <w:tcPr>
                  <w:tcW w:w="2349" w:type="pc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管道元件公称外径</w:t>
                  </w:r>
                  <w:r>
                    <w:rPr>
                      <w:rFonts w:hint="eastAsia" w:ascii="宋体" w:hAnsi="宋体" w:eastAsia="宋体" w:cs="宋体"/>
                      <w:color w:val="auto"/>
                      <w:sz w:val="21"/>
                      <w:szCs w:val="21"/>
                      <w:highlight w:val="none"/>
                      <w:lang w:val="en-US" w:eastAsia="zh-CN"/>
                    </w:rPr>
                    <w:t>dn</w:t>
                  </w:r>
                  <w:r>
                    <w:rPr>
                      <w:rFonts w:hint="eastAsia" w:ascii="宋体" w:hAnsi="宋体" w:eastAsia="宋体" w:cs="宋体"/>
                      <w:color w:val="auto"/>
                      <w:sz w:val="21"/>
                      <w:szCs w:val="21"/>
                      <w:highlight w:val="none"/>
                      <w:lang w:val="en-US" w:eastAsia="zh-CN" w:bidi="en-US"/>
                    </w:rPr>
                    <w:t>（mm）</w:t>
                  </w:r>
                </w:p>
              </w:tc>
              <w:tc>
                <w:tcPr>
                  <w:tcW w:w="2650" w:type="pct"/>
                  <w:tcBorders>
                    <w:top w:val="single" w:color="auto" w:sz="4" w:space="0"/>
                    <w:left w:val="single" w:color="auto" w:sz="4" w:space="0"/>
                    <w:righ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接口端面对接面最大间隙</w:t>
                  </w:r>
                  <w:r>
                    <w:rPr>
                      <w:rFonts w:hint="eastAsia" w:ascii="宋体" w:hAnsi="宋体" w:eastAsia="宋体" w:cs="宋体"/>
                      <w:color w:val="auto"/>
                      <w:sz w:val="21"/>
                      <w:szCs w:val="21"/>
                      <w:highlight w:val="none"/>
                      <w:lang w:val="en-US" w:eastAsia="zh-CN" w:bidi="en-US"/>
                    </w:rPr>
                    <w:t>（mm）</w:t>
                  </w:r>
                </w:p>
              </w:tc>
            </w:tr>
            <w:tr>
              <w:tblPrEx>
                <w:tblCellMar>
                  <w:top w:w="0" w:type="dxa"/>
                  <w:left w:w="10" w:type="dxa"/>
                  <w:bottom w:w="0" w:type="dxa"/>
                  <w:right w:w="10" w:type="dxa"/>
                </w:tblCellMar>
              </w:tblPrEx>
              <w:trPr>
                <w:trHeight w:val="289" w:hRule="exact"/>
                <w:jc w:val="center"/>
              </w:trPr>
              <w:tc>
                <w:tcPr>
                  <w:tcW w:w="2349" w:type="pc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dn≤250</w:t>
                  </w:r>
                </w:p>
              </w:tc>
              <w:tc>
                <w:tcPr>
                  <w:tcW w:w="2650" w:type="pct"/>
                  <w:tcBorders>
                    <w:top w:val="single" w:color="auto" w:sz="4" w:space="0"/>
                    <w:left w:val="single" w:color="auto" w:sz="4" w:space="0"/>
                    <w:righ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0.3</w:t>
                  </w:r>
                </w:p>
              </w:tc>
            </w:tr>
            <w:tr>
              <w:tblPrEx>
                <w:tblCellMar>
                  <w:top w:w="0" w:type="dxa"/>
                  <w:left w:w="10" w:type="dxa"/>
                  <w:bottom w:w="0" w:type="dxa"/>
                  <w:right w:w="10" w:type="dxa"/>
                </w:tblCellMar>
              </w:tblPrEx>
              <w:trPr>
                <w:trHeight w:val="319" w:hRule="exact"/>
                <w:jc w:val="center"/>
              </w:trPr>
              <w:tc>
                <w:tcPr>
                  <w:tcW w:w="2349" w:type="pct"/>
                  <w:tcBorders>
                    <w:top w:val="single" w:color="auto" w:sz="4" w:space="0"/>
                    <w:lef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250&lt;dn≤400</w:t>
                  </w:r>
                </w:p>
              </w:tc>
              <w:tc>
                <w:tcPr>
                  <w:tcW w:w="2650" w:type="pct"/>
                  <w:tcBorders>
                    <w:top w:val="single" w:color="auto" w:sz="4" w:space="0"/>
                    <w:left w:val="single" w:color="auto" w:sz="4" w:space="0"/>
                    <w:righ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0.5</w:t>
                  </w:r>
                </w:p>
              </w:tc>
            </w:tr>
            <w:tr>
              <w:tblPrEx>
                <w:tblCellMar>
                  <w:top w:w="0" w:type="dxa"/>
                  <w:left w:w="10" w:type="dxa"/>
                  <w:bottom w:w="0" w:type="dxa"/>
                  <w:right w:w="10" w:type="dxa"/>
                </w:tblCellMar>
              </w:tblPrEx>
              <w:trPr>
                <w:trHeight w:val="369" w:hRule="exact"/>
                <w:jc w:val="center"/>
              </w:trPr>
              <w:tc>
                <w:tcPr>
                  <w:tcW w:w="2349" w:type="pct"/>
                  <w:tcBorders>
                    <w:top w:val="single" w:color="auto" w:sz="4" w:space="0"/>
                    <w:left w:val="single" w:color="auto" w:sz="4" w:space="0"/>
                    <w:bottom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4OO&lt;dn≤63O</w:t>
                  </w:r>
                </w:p>
              </w:tc>
              <w:tc>
                <w:tcPr>
                  <w:tcW w:w="2650"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1.0</w:t>
                  </w:r>
                </w:p>
              </w:tc>
            </w:tr>
          </w:tbl>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应按热</w:t>
            </w:r>
            <w:r>
              <w:rPr>
                <w:rFonts w:hint="eastAsia" w:ascii="宋体" w:hAnsi="宋体" w:eastAsia="宋体" w:cs="宋体"/>
                <w:color w:val="auto"/>
                <w:sz w:val="21"/>
                <w:szCs w:val="21"/>
                <w:highlight w:val="none"/>
                <w:lang w:eastAsia="zh-CN"/>
              </w:rPr>
              <w:t>熔</w:t>
            </w:r>
            <w:r>
              <w:rPr>
                <w:rFonts w:hint="eastAsia" w:ascii="宋体" w:hAnsi="宋体" w:eastAsia="宋体" w:cs="宋体"/>
                <w:color w:val="auto"/>
                <w:sz w:val="21"/>
                <w:szCs w:val="21"/>
                <w:highlight w:val="none"/>
              </w:rPr>
              <w:t>对接的连接工艺要求加热待连接件端面。</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吸热时间达到规定要求后，应迅速撤出加热板，待连接件加热面熔化应均匀，不得有损伤。</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在规定的时间内使待连接面完全接触，并应保持规定的热熔对接压力。</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接头冷却应采用自然冷却。在保压冷却期间，不得拆开夹具，不得移动连接件或在连接件上施加任何外力。</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rPr>
              <w:t xml:space="preserve">5.2.3 </w:t>
            </w:r>
            <w:r>
              <w:rPr>
                <w:rFonts w:hint="eastAsia" w:ascii="宋体" w:hAnsi="宋体" w:eastAsia="宋体" w:cs="宋体"/>
                <w:color w:val="auto"/>
                <w:sz w:val="21"/>
                <w:szCs w:val="21"/>
                <w:highlight w:val="none"/>
                <w:lang w:bidi="zh-TW"/>
              </w:rPr>
              <w:t>热熔对接连接接头的质量检验应符合下列规定：</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热熔对接连接完成后，应对接头进行100%卷边对称性和接头对正性检验，并应对开挖敷设不少于15%的接头进行卷边切除检验，水平定向钻非开挖施工应进行100%接头卷边切除检验</w:t>
            </w:r>
            <w:r>
              <w:rPr>
                <w:rFonts w:hint="eastAsia" w:ascii="宋体" w:hAnsi="宋体" w:eastAsia="宋体" w:cs="宋体"/>
                <w:color w:val="auto"/>
                <w:sz w:val="21"/>
                <w:szCs w:val="21"/>
                <w:highlight w:val="none"/>
                <w:lang w:eastAsia="zh-CN"/>
              </w:rPr>
              <w:t>。</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 xml:space="preserve">2 </w:t>
            </w:r>
            <w:r>
              <w:rPr>
                <w:rFonts w:hint="eastAsia" w:ascii="宋体" w:hAnsi="宋体" w:eastAsia="宋体" w:cs="宋体"/>
                <w:color w:val="auto"/>
                <w:sz w:val="21"/>
                <w:szCs w:val="21"/>
                <w:highlight w:val="none"/>
              </w:rPr>
              <w:t>卷边对称性检验。沿管道整个圆周内的接口卷边应平滑</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均匀、对称，卷边融合线的最低处</w:t>
            </w:r>
            <w:r>
              <w:rPr>
                <w:rFonts w:hint="eastAsia" w:ascii="宋体" w:hAnsi="宋体" w:eastAsia="宋体" w:cs="宋体"/>
                <w:color w:val="auto"/>
                <w:sz w:val="21"/>
                <w:szCs w:val="21"/>
                <w:highlight w:val="none"/>
                <w:lang w:val="en-US" w:eastAsia="zh-CN" w:bidi="en-US"/>
              </w:rPr>
              <w:t>（A）</w:t>
            </w:r>
            <w:r>
              <w:rPr>
                <w:rFonts w:hint="eastAsia" w:ascii="宋体" w:hAnsi="宋体" w:eastAsia="宋体" w:cs="宋体"/>
                <w:color w:val="auto"/>
                <w:sz w:val="21"/>
                <w:szCs w:val="21"/>
                <w:highlight w:val="none"/>
              </w:rPr>
              <w:t>不应低于管道的外表面（图</w:t>
            </w:r>
            <w:r>
              <w:rPr>
                <w:rFonts w:hint="eastAsia" w:ascii="宋体" w:hAnsi="宋体" w:eastAsia="宋体" w:cs="宋体"/>
                <w:color w:val="auto"/>
                <w:sz w:val="21"/>
                <w:szCs w:val="21"/>
                <w:highlight w:val="none"/>
                <w:lang w:val="en-US" w:eastAsia="zh-CN"/>
              </w:rPr>
              <w:t>5.2.3-1</w:t>
            </w:r>
            <w:r>
              <w:rPr>
                <w:rFonts w:hint="eastAsia" w:ascii="宋体" w:hAnsi="宋体" w:eastAsia="宋体" w:cs="宋体"/>
                <w:color w:val="auto"/>
                <w:sz w:val="21"/>
                <w:szCs w:val="21"/>
                <w:highlight w:val="none"/>
                <w:lang w:val="en-US" w:eastAsia="zh-CN" w:bidi="en-US"/>
              </w:rPr>
              <w:t>）</w:t>
            </w:r>
            <w:r>
              <w:rPr>
                <w:rFonts w:hint="eastAsia" w:ascii="宋体" w:hAnsi="宋体" w:eastAsia="宋体" w:cs="宋体"/>
                <w:color w:val="auto"/>
                <w:sz w:val="21"/>
                <w:szCs w:val="21"/>
                <w:highlight w:val="none"/>
                <w:lang w:eastAsia="zh-CN"/>
              </w:rPr>
              <w:t>。</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en-US" w:eastAsia="zh-CN" w:bidi="en-US"/>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接头对正性检验</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接口两侧紧邻卷边的外圆周上任何一处的错边量（V）不应超过管道壁厚的10%（图</w:t>
            </w:r>
            <w:r>
              <w:rPr>
                <w:rFonts w:hint="eastAsia" w:ascii="宋体" w:hAnsi="宋体" w:eastAsia="宋体" w:cs="宋体"/>
                <w:color w:val="auto"/>
                <w:sz w:val="21"/>
                <w:szCs w:val="21"/>
                <w:highlight w:val="none"/>
                <w:lang w:val="en-US" w:eastAsia="zh-CN"/>
              </w:rPr>
              <w:t>5.2.3-2</w:t>
            </w:r>
            <w:r>
              <w:rPr>
                <w:rFonts w:hint="eastAsia" w:ascii="宋体" w:hAnsi="宋体" w:eastAsia="宋体" w:cs="宋体"/>
                <w:color w:val="auto"/>
                <w:sz w:val="21"/>
                <w:szCs w:val="21"/>
                <w:highlight w:val="none"/>
                <w:lang w:val="en-US" w:eastAsia="zh-CN" w:bidi="en-US"/>
              </w:rPr>
              <w:t>）。</w:t>
            </w:r>
          </w:p>
          <w:p>
            <w:pPr>
              <w:pStyle w:val="120"/>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drawing>
                <wp:anchor distT="88900" distB="278130" distL="0" distR="0" simplePos="0" relativeHeight="251661312" behindDoc="0" locked="0" layoutInCell="1" allowOverlap="1">
                  <wp:simplePos x="0" y="0"/>
                  <wp:positionH relativeFrom="page">
                    <wp:posOffset>1206500</wp:posOffset>
                  </wp:positionH>
                  <wp:positionV relativeFrom="paragraph">
                    <wp:posOffset>-4596765</wp:posOffset>
                  </wp:positionV>
                  <wp:extent cx="1737360" cy="966470"/>
                  <wp:effectExtent l="0" t="0" r="2540" b="11430"/>
                  <wp:wrapTopAndBottom/>
                  <wp:docPr id="39" name="图片 3"/>
                  <wp:cNvGraphicFramePr/>
                  <a:graphic xmlns:a="http://schemas.openxmlformats.org/drawingml/2006/main">
                    <a:graphicData uri="http://schemas.openxmlformats.org/drawingml/2006/picture">
                      <pic:pic xmlns:pic="http://schemas.openxmlformats.org/drawingml/2006/picture">
                        <pic:nvPicPr>
                          <pic:cNvPr id="39" name="图片 3"/>
                          <pic:cNvPicPr/>
                        </pic:nvPicPr>
                        <pic:blipFill>
                          <a:blip r:embed="rId11"/>
                          <a:stretch>
                            <a:fillRect/>
                          </a:stretch>
                        </pic:blipFill>
                        <pic:spPr>
                          <a:xfrm>
                            <a:off x="0" y="0"/>
                            <a:ext cx="1737360" cy="966470"/>
                          </a:xfrm>
                          <a:prstGeom prst="rect">
                            <a:avLst/>
                          </a:prstGeom>
                        </pic:spPr>
                      </pic:pic>
                    </a:graphicData>
                  </a:graphic>
                </wp:anchor>
              </w:drawing>
            </w:r>
            <w:r>
              <w:rPr>
                <w:rFonts w:hint="eastAsia" w:ascii="宋体" w:hAnsi="宋体" w:eastAsia="宋体" w:cs="宋体"/>
                <w:color w:val="auto"/>
                <w:sz w:val="21"/>
                <w:szCs w:val="21"/>
                <w:highlight w:val="none"/>
                <w:lang w:val="en-US" w:eastAsia="zh-CN"/>
              </w:rPr>
              <w:drawing>
                <wp:anchor distT="97155" distB="282575" distL="0" distR="0" simplePos="0" relativeHeight="251661312" behindDoc="0" locked="0" layoutInCell="1" allowOverlap="1">
                  <wp:simplePos x="0" y="0"/>
                  <wp:positionH relativeFrom="page">
                    <wp:posOffset>4305935</wp:posOffset>
                  </wp:positionH>
                  <wp:positionV relativeFrom="paragraph">
                    <wp:posOffset>-4587875</wp:posOffset>
                  </wp:positionV>
                  <wp:extent cx="1749425" cy="1035050"/>
                  <wp:effectExtent l="0" t="0" r="3175" b="6350"/>
                  <wp:wrapTopAndBottom/>
                  <wp:docPr id="43" name="图片 2"/>
                  <wp:cNvGraphicFramePr/>
                  <a:graphic xmlns:a="http://schemas.openxmlformats.org/drawingml/2006/main">
                    <a:graphicData uri="http://schemas.openxmlformats.org/drawingml/2006/picture">
                      <pic:pic xmlns:pic="http://schemas.openxmlformats.org/drawingml/2006/picture">
                        <pic:nvPicPr>
                          <pic:cNvPr id="43" name="图片 2"/>
                          <pic:cNvPicPr/>
                        </pic:nvPicPr>
                        <pic:blipFill>
                          <a:blip r:embed="rId12"/>
                          <a:stretch>
                            <a:fillRect/>
                          </a:stretch>
                        </pic:blipFill>
                        <pic:spPr>
                          <a:xfrm>
                            <a:off x="0" y="0"/>
                            <a:ext cx="1749425" cy="1035050"/>
                          </a:xfrm>
                          <a:prstGeom prst="rect">
                            <a:avLst/>
                          </a:prstGeom>
                        </pic:spPr>
                      </pic:pic>
                    </a:graphicData>
                  </a:graphic>
                </wp:anchor>
              </w:drawing>
            </w:r>
            <w:r>
              <w:rPr>
                <w:rFonts w:hint="eastAsia" w:ascii="宋体" w:hAnsi="宋体" w:eastAsia="宋体" w:cs="宋体"/>
                <w:color w:val="auto"/>
                <w:sz w:val="21"/>
                <w:szCs w:val="21"/>
                <w:highlight w:val="none"/>
                <w:lang w:val="en-US" w:eastAsia="zh-CN"/>
              </w:rPr>
              <w:t xml:space="preserve">图5.2.3-1卷边对称性示意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lang w:val="en-US" w:eastAsia="zh-CN"/>
              </w:rPr>
              <w:t xml:space="preserve">       图5.2.3-2接头对正性示意</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zh-CN" w:eastAsia="zh-CN"/>
              </w:rPr>
              <w:t>4</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卷边切除检验。在不损伤对接管道的情况下，应使用专用工具切除接口外部的熔接卷边（图</w:t>
            </w:r>
            <w:r>
              <w:rPr>
                <w:rFonts w:hint="eastAsia" w:ascii="宋体" w:hAnsi="宋体" w:eastAsia="宋体" w:cs="宋体"/>
                <w:color w:val="auto"/>
                <w:sz w:val="21"/>
                <w:szCs w:val="21"/>
                <w:highlight w:val="none"/>
                <w:lang w:val="en-US" w:eastAsia="zh-CN"/>
              </w:rPr>
              <w:t>5.2.3-3</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卷边切除检验应符合下列规定：</w:t>
            </w:r>
          </w:p>
          <w:p>
            <w:pPr>
              <w:pStyle w:val="115"/>
              <w:keepNext w:val="0"/>
              <w:keepLines w:val="0"/>
              <w:pageBreakBefore w:val="0"/>
              <w:widowControl w:val="0"/>
              <w:tabs>
                <w:tab w:val="left" w:pos="986"/>
              </w:tabs>
              <w:kinsoku/>
              <w:wordWrap/>
              <w:overflowPunct/>
              <w:topLinePunct w:val="0"/>
              <w:autoSpaceDE/>
              <w:autoSpaceDN/>
              <w:bidi w:val="0"/>
              <w:adjustRightInd/>
              <w:snapToGrid/>
              <w:spacing w:line="260" w:lineRule="atLeast"/>
              <w:ind w:left="0" w:firstLine="420" w:firstLineChars="200"/>
              <w:jc w:val="left"/>
              <w:textAlignment w:val="auto"/>
              <w:rPr>
                <w:rFonts w:hint="eastAsia" w:ascii="宋体" w:hAnsi="宋体" w:eastAsia="宋体" w:cs="宋体"/>
                <w:color w:val="auto"/>
                <w:sz w:val="21"/>
                <w:szCs w:val="21"/>
                <w:highlight w:val="none"/>
              </w:rPr>
            </w:pPr>
            <w:bookmarkStart w:id="0" w:name="bookmark89"/>
            <w:r>
              <w:rPr>
                <w:rFonts w:hint="eastAsia" w:ascii="宋体" w:hAnsi="宋体" w:eastAsia="宋体" w:cs="宋体"/>
                <w:color w:val="auto"/>
                <w:sz w:val="21"/>
                <w:szCs w:val="21"/>
                <w:highlight w:val="none"/>
              </w:rPr>
              <w:t>1</w:t>
            </w:r>
            <w:bookmarkEnd w:id="0"/>
            <w:r>
              <w:rPr>
                <w:rFonts w:hint="eastAsia" w:ascii="宋体" w:hAnsi="宋体" w:eastAsia="宋体" w:cs="宋体"/>
                <w:color w:val="auto"/>
                <w:sz w:val="21"/>
                <w:szCs w:val="21"/>
                <w:highlight w:val="none"/>
              </w:rPr>
              <w:t>）卷边应是实心圆滑的，根部较宽（图</w:t>
            </w:r>
            <w:r>
              <w:rPr>
                <w:rFonts w:hint="eastAsia" w:ascii="宋体" w:hAnsi="宋体" w:eastAsia="宋体" w:cs="宋体"/>
                <w:color w:val="auto"/>
                <w:sz w:val="21"/>
                <w:szCs w:val="21"/>
                <w:highlight w:val="none"/>
                <w:lang w:val="en-US" w:eastAsia="zh-CN" w:bidi="en-US"/>
              </w:rPr>
              <w:t>5</w:t>
            </w:r>
            <w:r>
              <w:rPr>
                <w:rFonts w:hint="eastAsia" w:ascii="宋体" w:hAnsi="宋体" w:eastAsia="宋体" w:cs="宋体"/>
                <w:color w:val="auto"/>
                <w:sz w:val="21"/>
                <w:szCs w:val="21"/>
                <w:highlight w:val="none"/>
                <w:lang w:val="en-US" w:eastAsia="zh-CN" w:bidi="en-US"/>
              </w:rPr>
              <w:t>.</w:t>
            </w:r>
            <w:r>
              <w:rPr>
                <w:rFonts w:hint="eastAsia" w:ascii="宋体" w:hAnsi="宋体" w:eastAsia="宋体" w:cs="宋体"/>
                <w:color w:val="auto"/>
                <w:sz w:val="21"/>
                <w:szCs w:val="21"/>
                <w:highlight w:val="none"/>
                <w:lang w:val="en-US" w:eastAsia="zh-CN" w:bidi="en-US"/>
              </w:rPr>
              <w:t>2</w:t>
            </w:r>
            <w:r>
              <w:rPr>
                <w:rFonts w:hint="eastAsia" w:ascii="宋体" w:hAnsi="宋体" w:eastAsia="宋体" w:cs="宋体"/>
                <w:color w:val="auto"/>
                <w:sz w:val="21"/>
                <w:szCs w:val="21"/>
                <w:highlight w:val="none"/>
                <w:lang w:val="en-US" w:eastAsia="zh-CN" w:bidi="en-US"/>
              </w:rPr>
              <w:t>.</w:t>
            </w:r>
            <w:r>
              <w:rPr>
                <w:rFonts w:hint="eastAsia" w:ascii="宋体" w:hAnsi="宋体" w:eastAsia="宋体" w:cs="宋体"/>
                <w:color w:val="auto"/>
                <w:sz w:val="21"/>
                <w:szCs w:val="21"/>
                <w:highlight w:val="none"/>
              </w:rPr>
              <w:t>3-4）。</w:t>
            </w:r>
          </w:p>
          <w:p>
            <w:pPr>
              <w:pStyle w:val="115"/>
              <w:keepNext w:val="0"/>
              <w:keepLines w:val="0"/>
              <w:pageBreakBefore w:val="0"/>
              <w:widowControl w:val="0"/>
              <w:tabs>
                <w:tab w:val="left" w:pos="993"/>
              </w:tabs>
              <w:kinsoku/>
              <w:wordWrap/>
              <w:overflowPunct/>
              <w:topLinePunct w:val="0"/>
              <w:autoSpaceDE/>
              <w:autoSpaceDN/>
              <w:bidi w:val="0"/>
              <w:adjustRightInd/>
              <w:snapToGrid/>
              <w:spacing w:line="260" w:lineRule="atLeast"/>
              <w:ind w:left="0" w:firstLine="420" w:firstLineChars="200"/>
              <w:jc w:val="left"/>
              <w:textAlignment w:val="auto"/>
              <w:rPr>
                <w:rFonts w:hint="eastAsia" w:ascii="宋体" w:hAnsi="宋体" w:eastAsia="宋体" w:cs="宋体"/>
                <w:color w:val="auto"/>
                <w:sz w:val="21"/>
                <w:szCs w:val="21"/>
                <w:highlight w:val="none"/>
              </w:rPr>
            </w:pPr>
            <w:bookmarkStart w:id="1" w:name="bookmark90"/>
            <w:r>
              <w:rPr>
                <w:rFonts w:hint="eastAsia" w:ascii="宋体" w:hAnsi="宋体" w:eastAsia="宋体" w:cs="宋体"/>
                <w:color w:val="auto"/>
                <w:sz w:val="21"/>
                <w:szCs w:val="21"/>
                <w:highlight w:val="none"/>
              </w:rPr>
              <w:t>2</w:t>
            </w:r>
            <w:bookmarkEnd w:id="1"/>
            <w:r>
              <w:rPr>
                <w:rFonts w:hint="eastAsia" w:ascii="宋体" w:hAnsi="宋体" w:eastAsia="宋体" w:cs="宋体"/>
                <w:color w:val="auto"/>
                <w:sz w:val="21"/>
                <w:szCs w:val="21"/>
                <w:highlight w:val="none"/>
              </w:rPr>
              <w:t>）卷边切割面中不应有夹杂物、小孔、扭曲和损坏。</w:t>
            </w:r>
          </w:p>
          <w:p>
            <w:pPr>
              <w:pStyle w:val="115"/>
              <w:keepNext w:val="0"/>
              <w:keepLines w:val="0"/>
              <w:pageBreakBefore w:val="0"/>
              <w:kinsoku/>
              <w:wordWrap/>
              <w:overflowPunct/>
              <w:topLinePunct w:val="0"/>
              <w:autoSpaceDE/>
              <w:autoSpaceDN/>
              <w:bidi w:val="0"/>
              <w:spacing w:line="260" w:lineRule="atLeast"/>
              <w:ind w:left="0" w:firstLine="0"/>
              <w:jc w:val="center"/>
              <w:rPr>
                <w:rFonts w:hint="eastAsia" w:ascii="宋体" w:hAnsi="宋体" w:eastAsia="宋体" w:cs="宋体"/>
                <w:color w:val="auto"/>
                <w:sz w:val="21"/>
                <w:szCs w:val="21"/>
                <w:highlight w:val="none"/>
                <w:lang w:val="en-US" w:eastAsia="zh-CN" w:bidi="en-US"/>
              </w:rPr>
            </w:pPr>
            <w:r>
              <w:rPr>
                <w:rFonts w:hint="eastAsia" w:ascii="宋体" w:hAnsi="宋体" w:eastAsia="宋体" w:cs="宋体"/>
                <w:color w:val="auto"/>
                <w:sz w:val="21"/>
                <w:szCs w:val="21"/>
                <w:highlight w:val="none"/>
                <w:lang w:val="en-US" w:eastAsia="zh-CN"/>
              </w:rPr>
              <w:drawing>
                <wp:inline distT="0" distB="0" distL="114300" distR="114300">
                  <wp:extent cx="3724910" cy="1210310"/>
                  <wp:effectExtent l="0" t="0" r="8890" b="8890"/>
                  <wp:docPr id="47" name="图片 4"/>
                  <wp:cNvGraphicFramePr/>
                  <a:graphic xmlns:a="http://schemas.openxmlformats.org/drawingml/2006/main">
                    <a:graphicData uri="http://schemas.openxmlformats.org/drawingml/2006/picture">
                      <pic:pic xmlns:pic="http://schemas.openxmlformats.org/drawingml/2006/picture">
                        <pic:nvPicPr>
                          <pic:cNvPr id="47" name="图片 4"/>
                          <pic:cNvPicPr/>
                        </pic:nvPicPr>
                        <pic:blipFill>
                          <a:blip r:embed="rId13"/>
                          <a:stretch>
                            <a:fillRect/>
                          </a:stretch>
                        </pic:blipFill>
                        <pic:spPr>
                          <a:xfrm>
                            <a:off x="0" y="0"/>
                            <a:ext cx="3724910" cy="1210310"/>
                          </a:xfrm>
                          <a:prstGeom prst="rect">
                            <a:avLst/>
                          </a:prstGeom>
                        </pic:spPr>
                      </pic:pic>
                    </a:graphicData>
                  </a:graphic>
                </wp:inline>
              </w:drawing>
            </w:r>
          </w:p>
          <w:p>
            <w:pPr>
              <w:pStyle w:val="115"/>
              <w:keepNext w:val="0"/>
              <w:keepLines w:val="0"/>
              <w:pageBreakBefore w:val="0"/>
              <w:widowControl w:val="0"/>
              <w:tabs>
                <w:tab w:val="left" w:pos="986"/>
              </w:tabs>
              <w:kinsoku/>
              <w:wordWrap/>
              <w:overflowPunct/>
              <w:topLinePunct w:val="0"/>
              <w:autoSpaceDE/>
              <w:autoSpaceDN/>
              <w:bidi w:val="0"/>
              <w:adjustRightInd/>
              <w:snapToGrid/>
              <w:spacing w:line="260" w:lineRule="atLeast"/>
              <w:ind w:left="0"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每隔</w:t>
            </w:r>
            <w:r>
              <w:rPr>
                <w:rFonts w:hint="eastAsia" w:ascii="宋体" w:hAnsi="宋体" w:eastAsia="宋体" w:cs="宋体"/>
                <w:color w:val="auto"/>
                <w:sz w:val="21"/>
                <w:szCs w:val="21"/>
                <w:highlight w:val="none"/>
                <w:lang w:val="en-US" w:eastAsia="zh-CN"/>
              </w:rPr>
              <w:t>50mm</w:t>
            </w:r>
            <w:r>
              <w:rPr>
                <w:rFonts w:hint="eastAsia" w:ascii="宋体" w:hAnsi="宋体" w:eastAsia="宋体" w:cs="宋体"/>
                <w:color w:val="auto"/>
                <w:sz w:val="21"/>
                <w:szCs w:val="21"/>
                <w:highlight w:val="none"/>
              </w:rPr>
              <w:t>应进行一次180°的背弯检验（图5.2.</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卷边切割面中线附近不应有开裂、裂缝，不得露出熔合线。</w:t>
            </w:r>
          </w:p>
          <w:p>
            <w:pPr>
              <w:keepNext w:val="0"/>
              <w:keepLines w:val="0"/>
              <w:pageBreakBefore w:val="0"/>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drawing>
                <wp:inline distT="0" distB="0" distL="114300" distR="114300">
                  <wp:extent cx="908050" cy="1322705"/>
                  <wp:effectExtent l="0" t="0" r="6350" b="10795"/>
                  <wp:docPr id="48" name="图片 5"/>
                  <wp:cNvGraphicFramePr/>
                  <a:graphic xmlns:a="http://schemas.openxmlformats.org/drawingml/2006/main">
                    <a:graphicData uri="http://schemas.openxmlformats.org/drawingml/2006/picture">
                      <pic:pic xmlns:pic="http://schemas.openxmlformats.org/drawingml/2006/picture">
                        <pic:nvPicPr>
                          <pic:cNvPr id="48" name="图片 5"/>
                          <pic:cNvPicPr/>
                        </pic:nvPicPr>
                        <pic:blipFill>
                          <a:blip r:embed="rId14"/>
                          <a:stretch>
                            <a:fillRect/>
                          </a:stretch>
                        </pic:blipFill>
                        <pic:spPr>
                          <a:xfrm>
                            <a:off x="0" y="0"/>
                            <a:ext cx="908050" cy="1322705"/>
                          </a:xfrm>
                          <a:prstGeom prst="rect">
                            <a:avLst/>
                          </a:prstGeom>
                        </pic:spPr>
                      </pic:pic>
                    </a:graphicData>
                  </a:graphic>
                </wp:inline>
              </w:drawing>
            </w:r>
          </w:p>
          <w:p>
            <w:pPr>
              <w:pStyle w:val="120"/>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图</w:t>
            </w:r>
            <w:r>
              <w:rPr>
                <w:rFonts w:hint="eastAsia" w:ascii="宋体" w:hAnsi="宋体" w:eastAsia="宋体" w:cs="宋体"/>
                <w:color w:val="auto"/>
                <w:sz w:val="21"/>
                <w:szCs w:val="21"/>
                <w:highlight w:val="none"/>
                <w:lang w:val="en-US" w:eastAsia="zh-CN" w:bidi="en-US"/>
              </w:rPr>
              <w:t>5</w:t>
            </w:r>
            <w:r>
              <w:rPr>
                <w:rFonts w:hint="eastAsia" w:ascii="宋体" w:hAnsi="宋体" w:eastAsia="宋体" w:cs="宋体"/>
                <w:color w:val="auto"/>
                <w:sz w:val="21"/>
                <w:szCs w:val="21"/>
                <w:highlight w:val="none"/>
                <w:lang w:val="en-US" w:eastAsia="zh-CN" w:bidi="en-US"/>
              </w:rPr>
              <w:t>.</w:t>
            </w:r>
            <w:r>
              <w:rPr>
                <w:rFonts w:hint="eastAsia" w:ascii="宋体" w:hAnsi="宋体" w:eastAsia="宋体" w:cs="宋体"/>
                <w:color w:val="auto"/>
                <w:sz w:val="21"/>
                <w:szCs w:val="21"/>
                <w:highlight w:val="none"/>
                <w:lang w:val="en-US" w:eastAsia="zh-CN" w:bidi="en-US"/>
              </w:rPr>
              <w:t>2</w:t>
            </w:r>
            <w:r>
              <w:rPr>
                <w:rFonts w:hint="eastAsia" w:ascii="宋体" w:hAnsi="宋体" w:eastAsia="宋体" w:cs="宋体"/>
                <w:color w:val="auto"/>
                <w:sz w:val="21"/>
                <w:szCs w:val="21"/>
                <w:highlight w:val="none"/>
                <w:lang w:val="en-US" w:eastAsia="zh-CN" w:bidi="en-US"/>
              </w:rPr>
              <w:t>.</w:t>
            </w:r>
            <w:r>
              <w:rPr>
                <w:rFonts w:hint="eastAsia" w:ascii="宋体" w:hAnsi="宋体" w:eastAsia="宋体" w:cs="宋体"/>
                <w:color w:val="auto"/>
                <w:sz w:val="21"/>
                <w:szCs w:val="21"/>
                <w:highlight w:val="none"/>
                <w:lang w:val="en-US" w:eastAsia="zh-CN" w:bidi="en-US"/>
              </w:rPr>
              <w:t>3-5</w:t>
            </w:r>
            <w:r>
              <w:rPr>
                <w:rFonts w:hint="eastAsia" w:ascii="宋体" w:hAnsi="宋体" w:eastAsia="宋体" w:cs="宋体"/>
                <w:color w:val="auto"/>
                <w:sz w:val="21"/>
                <w:szCs w:val="21"/>
                <w:highlight w:val="none"/>
              </w:rPr>
              <w:t>切除卷边背弯试验示意</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当抽样检验的全部接口合格时，应判定该批接口全部合格。当抽样检验的接口</w:t>
            </w:r>
            <w:r>
              <w:rPr>
                <w:rFonts w:hint="eastAsia" w:ascii="宋体" w:hAnsi="宋体" w:eastAsia="宋体" w:cs="宋体"/>
                <w:color w:val="auto"/>
                <w:sz w:val="21"/>
                <w:szCs w:val="21"/>
                <w:highlight w:val="none"/>
                <w:lang w:eastAsia="zh-CN"/>
              </w:rPr>
              <w:t>出现</w:t>
            </w:r>
            <w:r>
              <w:rPr>
                <w:rFonts w:hint="eastAsia" w:ascii="宋体" w:hAnsi="宋体" w:eastAsia="宋体" w:cs="宋体"/>
                <w:color w:val="auto"/>
                <w:sz w:val="21"/>
                <w:szCs w:val="21"/>
                <w:highlight w:val="none"/>
              </w:rPr>
              <w:t>不合格情况时，应判定该接口不合格，并应按下列规定加倍抽样检验：</w:t>
            </w:r>
          </w:p>
          <w:p>
            <w:pPr>
              <w:pStyle w:val="115"/>
              <w:keepNext w:val="0"/>
              <w:keepLines w:val="0"/>
              <w:pageBreakBefore w:val="0"/>
              <w:widowControl w:val="0"/>
              <w:tabs>
                <w:tab w:val="left" w:pos="993"/>
              </w:tabs>
              <w:kinsoku/>
              <w:wordWrap/>
              <w:overflowPunct/>
              <w:topLinePunct w:val="0"/>
              <w:autoSpaceDE/>
              <w:autoSpaceDN/>
              <w:bidi w:val="0"/>
              <w:adjustRightInd/>
              <w:snapToGrid/>
              <w:spacing w:line="260" w:lineRule="atLeast"/>
              <w:ind w:left="0"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每出现一个不合格接口，应加倍抽检该焊工所焊的同 一批接口，按本标准的规定进行检验。</w:t>
            </w:r>
            <w:bookmarkStart w:id="2" w:name="bookmark93"/>
          </w:p>
          <w:bookmarkEnd w:id="2"/>
          <w:p>
            <w:pPr>
              <w:pStyle w:val="115"/>
              <w:keepNext w:val="0"/>
              <w:keepLines w:val="0"/>
              <w:pageBreakBefore w:val="0"/>
              <w:widowControl w:val="0"/>
              <w:tabs>
                <w:tab w:val="left" w:pos="993"/>
              </w:tabs>
              <w:kinsoku/>
              <w:wordWrap/>
              <w:overflowPunct/>
              <w:topLinePunct w:val="0"/>
              <w:autoSpaceDE/>
              <w:autoSpaceDN/>
              <w:bidi w:val="0"/>
              <w:adjustRightInd/>
              <w:snapToGrid/>
              <w:spacing w:line="260" w:lineRule="atLeast"/>
              <w:ind w:left="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如第二次抽检仍出现不合格接口时，则应对该焊工所焊的同批接口全部进行检验。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3.2.3.7</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埋地管道敷设</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聚乙烯燃气管道的电熔焊接应符合设计和相关标准要求。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《聚乙烯燃气管道工程技术标准》CJJ63-2018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en-US"/>
              </w:rPr>
              <w:t xml:space="preserve">5.3.2 </w:t>
            </w:r>
            <w:r>
              <w:rPr>
                <w:rFonts w:hint="eastAsia" w:ascii="宋体" w:hAnsi="宋体" w:eastAsia="宋体" w:cs="宋体"/>
                <w:color w:val="auto"/>
                <w:sz w:val="21"/>
                <w:szCs w:val="21"/>
                <w:highlight w:val="none"/>
                <w:lang w:bidi="zh-TW"/>
              </w:rPr>
              <w:t>电熔承插连接的操作应符合下列规定：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1 管材的连接部位应擦净，并应保持干燥；管件应在焊接 时再拆除封装袋。</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2 当管材的不圆度影响安装时，应采用整圆工具对插入端进行整圆。</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3 应测量电熔管件承口长度，并在管材或插口管件的插入端标出插入长度，刮除插入段表皮的氧化层，刮削表皮厚度宜为0.1mm～0.2mm，并应保持洁净。</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4 将管材或插口管件的插入端插入电熔管件承口内至标记位置，同时应对配合尺寸进行</w:t>
            </w:r>
            <w:r>
              <w:rPr>
                <w:rFonts w:hint="eastAsia" w:ascii="宋体" w:hAnsi="宋体" w:eastAsia="宋体" w:cs="宋体"/>
                <w:color w:val="auto"/>
                <w:sz w:val="21"/>
                <w:szCs w:val="21"/>
                <w:highlight w:val="none"/>
                <w:lang w:eastAsia="zh-CN" w:bidi="zh-TW"/>
              </w:rPr>
              <w:t>检查</w:t>
            </w:r>
            <w:r>
              <w:rPr>
                <w:rFonts w:hint="eastAsia" w:ascii="宋体" w:hAnsi="宋体" w:eastAsia="宋体" w:cs="宋体"/>
                <w:color w:val="auto"/>
                <w:sz w:val="21"/>
                <w:szCs w:val="21"/>
                <w:highlight w:val="none"/>
                <w:lang w:bidi="zh-TW"/>
              </w:rPr>
              <w:t>，避免强力插入。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5 校直待连接的管材和管件，使其在同一轴线上，并应采用专用夹具固定后，方可通电焊接。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6通电加热焊接的电压或电流、加热时间等焊接参数的设定应符合电熔连接熔接设备和电熔管件的使用要求。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7接头冷却应采用自然冷却。在冷却期间，不得拆开夹具</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不得移动连接件或在连接件上施加任何外力。</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en-US"/>
              </w:rPr>
              <w:t xml:space="preserve">5.3.3 </w:t>
            </w:r>
            <w:r>
              <w:rPr>
                <w:rFonts w:hint="eastAsia" w:ascii="宋体" w:hAnsi="宋体" w:eastAsia="宋体" w:cs="宋体"/>
                <w:color w:val="auto"/>
                <w:sz w:val="21"/>
                <w:szCs w:val="21"/>
                <w:highlight w:val="none"/>
                <w:lang w:bidi="zh-TW"/>
              </w:rPr>
              <w:t>电熔鞍形连接的操作应符合下列规定：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1 应标记电熔鞍形管件与管道连接的位置，并应</w:t>
            </w:r>
            <w:r>
              <w:rPr>
                <w:rFonts w:hint="eastAsia" w:ascii="宋体" w:hAnsi="宋体" w:eastAsia="宋体" w:cs="宋体"/>
                <w:color w:val="auto"/>
                <w:sz w:val="21"/>
                <w:szCs w:val="21"/>
                <w:highlight w:val="none"/>
                <w:lang w:eastAsia="zh-CN" w:bidi="zh-TW"/>
              </w:rPr>
              <w:t>检查</w:t>
            </w:r>
            <w:r>
              <w:rPr>
                <w:rFonts w:hint="eastAsia" w:ascii="宋体" w:hAnsi="宋体" w:eastAsia="宋体" w:cs="宋体"/>
                <w:color w:val="auto"/>
                <w:sz w:val="21"/>
                <w:szCs w:val="21"/>
                <w:highlight w:val="none"/>
                <w:lang w:bidi="zh-TW"/>
              </w:rPr>
              <w:t>连接位置处管道的不圆度，必要时应采用整圆工具对其进行整圆，</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2 管道连接部位应擦拭干净，并应保持干燥，应刮除管道连接部位表皮氧化层，刮削厚度宜为0.1mm〜0.2mm。</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 xml:space="preserve">3 </w:t>
            </w:r>
            <w:r>
              <w:rPr>
                <w:rFonts w:hint="eastAsia" w:ascii="宋体" w:hAnsi="宋体" w:eastAsia="宋体" w:cs="宋体"/>
                <w:color w:val="auto"/>
                <w:sz w:val="21"/>
                <w:szCs w:val="21"/>
                <w:highlight w:val="none"/>
                <w:lang w:eastAsia="zh-CN" w:bidi="zh-TW"/>
              </w:rPr>
              <w:t>检查</w:t>
            </w:r>
            <w:r>
              <w:rPr>
                <w:rFonts w:hint="eastAsia" w:ascii="宋体" w:hAnsi="宋体" w:eastAsia="宋体" w:cs="宋体"/>
                <w:color w:val="auto"/>
                <w:sz w:val="21"/>
                <w:szCs w:val="21"/>
                <w:highlight w:val="none"/>
                <w:lang w:bidi="zh-TW"/>
              </w:rPr>
              <w:t>电熔鞍形管件鞍形面与管道连接部位的适配性，并应</w:t>
            </w:r>
            <w:r>
              <w:rPr>
                <w:rFonts w:hint="eastAsia" w:ascii="宋体" w:hAnsi="宋体" w:eastAsia="宋体" w:cs="宋体"/>
                <w:color w:val="auto"/>
                <w:sz w:val="21"/>
                <w:szCs w:val="21"/>
                <w:highlight w:val="none"/>
                <w:lang w:eastAsia="zh-CN" w:bidi="zh-TW"/>
              </w:rPr>
              <w:t>采用</w:t>
            </w:r>
            <w:r>
              <w:rPr>
                <w:rFonts w:hint="eastAsia" w:ascii="宋体" w:hAnsi="宋体" w:eastAsia="宋体" w:cs="宋体"/>
                <w:color w:val="auto"/>
                <w:sz w:val="21"/>
                <w:szCs w:val="21"/>
                <w:highlight w:val="none"/>
                <w:lang w:bidi="zh-TW"/>
              </w:rPr>
              <w:t>支座或机械装置固定管道连接部位的管段，使其保持直线度和圆度。</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4 通电前，应将电熔鞍形管件用专用夹具固定在管道连接部位。</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5 通电加热时的电压或电流、加热时间等焊接参数应符合电熔连接机具和电熔鞍形管件的使用要求。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6 接头冷却应采取自然冷却。冷却期间，不得拆开夹具，不得移动连接件或在连接件上施加任何外力。</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7 钻孔操作应在支管强度试验和气密性试验合格后进行。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en-US"/>
              </w:rPr>
              <w:t xml:space="preserve">5.3.4 </w:t>
            </w:r>
            <w:r>
              <w:rPr>
                <w:rFonts w:hint="eastAsia" w:ascii="宋体" w:hAnsi="宋体" w:eastAsia="宋体" w:cs="宋体"/>
                <w:color w:val="auto"/>
                <w:sz w:val="21"/>
                <w:szCs w:val="21"/>
                <w:highlight w:val="none"/>
                <w:lang w:bidi="zh-TW"/>
              </w:rPr>
              <w:t>电熔承插连接接头的质量检验应符合下列规定：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1 电熔管件与管材或插口管件的轴线应对正。</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2 管材或插口管件在电熔管件端口处的周边表面应有明显的刮皮痕迹。</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3 电熔管件端口的接缝处不应有熔融料溢出。</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4 电熔管件内的电阻丝不应被挤出。</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5 从电熔管件上的观察孔中应能看到指示柱移动或有少量熔融料溢出，溢料不得呈流淌状。</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6 每个电熔承插连接接头均应进行上述检验，出现与上述</w:t>
            </w:r>
            <w:r>
              <w:rPr>
                <w:rFonts w:hint="eastAsia" w:ascii="宋体" w:hAnsi="宋体" w:eastAsia="宋体" w:cs="宋体"/>
                <w:color w:val="auto"/>
                <w:sz w:val="21"/>
                <w:szCs w:val="21"/>
                <w:highlight w:val="none"/>
                <w:lang w:eastAsia="zh-CN" w:bidi="zh-TW"/>
              </w:rPr>
              <w:t>条</w:t>
            </w:r>
            <w:r>
              <w:rPr>
                <w:rFonts w:hint="eastAsia" w:ascii="宋体" w:hAnsi="宋体" w:eastAsia="宋体" w:cs="宋体"/>
                <w:color w:val="auto"/>
                <w:sz w:val="21"/>
                <w:szCs w:val="21"/>
                <w:highlight w:val="none"/>
                <w:lang w:bidi="zh-TW"/>
              </w:rPr>
              <w:t>款不符合的情况，应判定为不合格。</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en-US"/>
              </w:rPr>
              <w:t>5.3.5</w:t>
            </w:r>
            <w:r>
              <w:rPr>
                <w:rFonts w:hint="eastAsia" w:ascii="宋体" w:hAnsi="宋体" w:eastAsia="宋体" w:cs="宋体"/>
                <w:color w:val="auto"/>
                <w:sz w:val="21"/>
                <w:szCs w:val="21"/>
                <w:highlight w:val="none"/>
                <w:lang w:bidi="zh-TW"/>
              </w:rPr>
              <w:t>电熔鞍形连接接头的质量检验应符合下列规定：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1 电熔鞍形管件周边的管道表面上应有明显的刮皮痕迹。</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2 鞍形分支或鞍形三通的出口应垂直于管道的中心线。</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3 管道管壁不应塌陷。</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4 熔融料不应从鞍形管件周边溢出。</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5 从鞍形管件上的观察孔中应能看到指示柱移动或有少量熔融料溢出，溢料不得呈流淌状。</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TW"/>
              </w:rPr>
              <w:t>6 每个电熔鞍形连接接头均应进行上述检验，出现与上述条款不符合的情况，应判定为不合格。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公用管道》GB/T38942-2020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6.4.3.2 聚乙烯燃气管道安装施工前，应根据评定合格的焊接工艺编制焊接工艺规程。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6.4.3.3 管道连接前应进行外观检查，管材表面划伤深度不应超过管材壁厚的10%，穿跨越敷设时，管材表面划伤深度不应超过管材壁厚的5%，管件及管道附属设备的外包装应完好。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3.2.4</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b/>
                <w:bCs/>
                <w:color w:val="auto"/>
                <w:spacing w:val="-6"/>
                <w:kern w:val="0"/>
                <w:sz w:val="21"/>
                <w:szCs w:val="21"/>
                <w:highlight w:val="none"/>
              </w:rPr>
            </w:pPr>
            <w:r>
              <w:rPr>
                <w:rFonts w:hint="eastAsia" w:ascii="宋体" w:hAnsi="宋体" w:eastAsia="宋体" w:cs="宋体"/>
                <w:b/>
                <w:bCs/>
                <w:color w:val="auto"/>
                <w:sz w:val="21"/>
                <w:szCs w:val="21"/>
                <w:highlight w:val="none"/>
              </w:rPr>
              <w:t>架空管道敷设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3.2.4.1</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架空管道敷设</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架空管道敷设应符合设计文件和相关标准的要求。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公用管道》GB/T38942-2020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6.4.5.1 管道支、吊架安装前应进行标高和坡降测量并放线，固定后的支、吊架位置应正确，安装应平整、牢固，与管道接触良好。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6.4.5.2 涂料的种类、涂敷次序、层数、各层的表面要求及施工的环境温度应按设计和所选涂料的产品要求进行。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6.4.5.3 管道安装前应涂底漆。涂漆前应清除被涂表面的铁锈、焊渣、毛刺、油、水等污物，涂漆完成后方可进行管道安装。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6.4.5.4 吹扫、压力试验完成后，应补刷底漆并完成管道设备的防腐。</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8.1.5.2 架空管道安全防护应符合下列规定：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a）架空管线与其他建筑墙壁的最小净距不宜小于0.1m；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b）配电箱、线缆与架空管线的最小净距不宜小于0.3m，且不得交叉；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d）架空管线应在支架、支墩或管线转弯处，管线首末端及直线段处设置永久标志牌；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ｅ）架空敷设的金属燃气管道应设防直击雷措施，并符合GB50057的相关要求；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f）架空敷设的金属燃气管道应设防感应雷措施，并应符合如下规定：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1）管道及放散管均应接到防闪电感应的接地装置上；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 xml:space="preserve">2）距离建筑物100m的架空管道，应每隔25m左右接地一次，其冲击电阻不应大于30Ω； 并应利用金属支架或钢筋混凝土支架的焊接、绑扎钢筋网作为引下线，其钢筋混凝土基础宜作为接地装置；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3）防雷防静电共用接地装置，接地电阻不大于10Ω。</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8.1.2.10 架空敷设的燃气管道应设置安全警示标志，在可能被车辆碰撞的位置应设置防撞保护设施</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并应定期对管道的外防腐层进行检查和维护。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《城镇燃气输配工程施工及验收规范》CJJ33-2005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10.1.2 固定支架应按设计规定安装，安装补偿器时，应在补偿器预拉伸</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压缩</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之后固定。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《燃气工程项目规范</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GB55009-2021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en-US"/>
              </w:rPr>
              <w:t>5.1.</w:t>
            </w:r>
            <w:r>
              <w:rPr>
                <w:rFonts w:hint="eastAsia" w:ascii="宋体" w:hAnsi="宋体" w:eastAsia="宋体" w:cs="宋体"/>
                <w:color w:val="auto"/>
                <w:sz w:val="21"/>
                <w:szCs w:val="21"/>
                <w:highlight w:val="none"/>
                <w:lang w:bidi="zh-TW"/>
              </w:rPr>
              <w:t>15 当输配管道架空敷设时，应</w:t>
            </w:r>
            <w:r>
              <w:rPr>
                <w:rFonts w:hint="eastAsia" w:ascii="宋体" w:hAnsi="宋体" w:eastAsia="宋体" w:cs="宋体"/>
                <w:color w:val="auto"/>
                <w:sz w:val="21"/>
                <w:szCs w:val="21"/>
                <w:highlight w:val="none"/>
                <w:lang w:eastAsia="zh-CN" w:bidi="zh-TW"/>
              </w:rPr>
              <w:t>采取</w:t>
            </w:r>
            <w:r>
              <w:rPr>
                <w:rFonts w:hint="eastAsia" w:ascii="宋体" w:hAnsi="宋体" w:eastAsia="宋体" w:cs="宋体"/>
                <w:color w:val="auto"/>
                <w:sz w:val="21"/>
                <w:szCs w:val="21"/>
                <w:highlight w:val="none"/>
                <w:lang w:bidi="zh-TW"/>
              </w:rPr>
              <w:t>防止车辆冲撞等外力损害的措施。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3.2.5</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b/>
                <w:bCs/>
                <w:color w:val="auto"/>
                <w:spacing w:val="-6"/>
                <w:kern w:val="0"/>
                <w:sz w:val="21"/>
                <w:szCs w:val="21"/>
                <w:highlight w:val="none"/>
              </w:rPr>
            </w:pPr>
            <w:r>
              <w:rPr>
                <w:rFonts w:hint="eastAsia" w:ascii="宋体" w:hAnsi="宋体" w:eastAsia="宋体" w:cs="宋体"/>
                <w:b/>
                <w:bCs/>
                <w:color w:val="auto"/>
                <w:sz w:val="21"/>
                <w:szCs w:val="21"/>
                <w:highlight w:val="none"/>
              </w:rPr>
              <w:t>穿跨越管道敷设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3.2.5.1</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穿跨越管道敷设</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水域开挖法穿越施工应符合设计和相关标准的要求。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《城镇燃气管道穿跨越工程技术规程》</w:t>
            </w:r>
            <w:r>
              <w:rPr>
                <w:rFonts w:hint="eastAsia" w:ascii="宋体" w:hAnsi="宋体" w:eastAsia="宋体" w:cs="宋体"/>
                <w:color w:val="auto"/>
                <w:sz w:val="21"/>
                <w:szCs w:val="21"/>
                <w:highlight w:val="none"/>
                <w:lang w:eastAsia="zh-CN"/>
              </w:rPr>
              <w:t>CJJ/T</w:t>
            </w:r>
            <w:r>
              <w:rPr>
                <w:rFonts w:hint="eastAsia" w:ascii="宋体" w:hAnsi="宋体" w:eastAsia="宋体" w:cs="宋体"/>
                <w:color w:val="auto"/>
                <w:sz w:val="21"/>
                <w:szCs w:val="21"/>
                <w:highlight w:val="none"/>
              </w:rPr>
              <w:t>250-2016</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5.2.1 围堰和导流施工应符合下列规定：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rPr>
              <w:t>1 导流</w:t>
            </w:r>
            <w:r>
              <w:rPr>
                <w:rFonts w:hint="eastAsia" w:ascii="宋体" w:hAnsi="宋体" w:eastAsia="宋体" w:cs="宋体"/>
                <w:color w:val="auto"/>
                <w:sz w:val="21"/>
                <w:szCs w:val="21"/>
                <w:highlight w:val="none"/>
                <w:lang w:bidi="zh-TW"/>
              </w:rPr>
              <w:t>沟底应低于入口处河流水面，导流沟宽度应根据河水流量的大小确定，沟底水流方向应的坡度不应小于0.003。导流沟宽度应根据河水流量的大小确定。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TW"/>
              </w:rPr>
              <w:t>2 河流上、下游两截水坝之间的距离应能满足施工作业要求。坝顶应高出施工期水面1.0m～1.5m，且不得超过河岸最低点；断面应为梯形，边坡比宜为1：1～1：2，坝顶宽度应根据河水的深度确定，宜为2m～5m</w:t>
            </w:r>
            <w:r>
              <w:rPr>
                <w:rFonts w:hint="eastAsia" w:ascii="宋体" w:hAnsi="宋体" w:eastAsia="宋体" w:cs="宋体"/>
                <w:color w:val="auto"/>
                <w:sz w:val="21"/>
                <w:szCs w:val="21"/>
                <w:highlight w:val="none"/>
              </w:rPr>
              <w:t>。</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5.2.4河底管沟的几何尺寸和质量应符合下列规定：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rPr>
              <w:t>1 河底管</w:t>
            </w:r>
            <w:r>
              <w:rPr>
                <w:rFonts w:hint="eastAsia" w:ascii="宋体" w:hAnsi="宋体" w:eastAsia="宋体" w:cs="宋体"/>
                <w:color w:val="auto"/>
                <w:sz w:val="21"/>
                <w:szCs w:val="21"/>
                <w:highlight w:val="none"/>
                <w:lang w:bidi="zh-TW"/>
              </w:rPr>
              <w:t>沟的沟底宽度和边坡尺寸应根据土石性质、水流 速度、开挖深度和施工方法等因素确定，必要时可进行试挖。当无试验条件和数据时，开挖管沟尺寸可分别按表5.2.4-1和表5.2.4-2确定（表略）。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3 不带水开挖施工时，河底管沟中心线偏移不应大于200mm，管沟深度应符合设计要求，允许偏差应为±200mm。</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4 带水开挖穿越施工时，河底管沟中心线偏移不应超过500mm，管沟深度应符合设计要求，允许偏差应为</w:t>
            </w:r>
            <w:r>
              <w:rPr>
                <w:rFonts w:hint="eastAsia" w:ascii="宋体" w:hAnsi="宋体" w:eastAsia="宋体" w:cs="宋体"/>
                <w:color w:val="auto"/>
                <w:sz w:val="21"/>
                <w:szCs w:val="21"/>
                <w:highlight w:val="none"/>
                <w:lang w:val="en-US" w:eastAsia="zh-CN" w:bidi="zh-TW"/>
              </w:rPr>
              <w:t>±</w:t>
            </w:r>
            <w:r>
              <w:rPr>
                <w:rFonts w:hint="eastAsia" w:ascii="宋体" w:hAnsi="宋体" w:eastAsia="宋体" w:cs="宋体"/>
                <w:color w:val="auto"/>
                <w:sz w:val="21"/>
                <w:szCs w:val="21"/>
                <w:highlight w:val="none"/>
                <w:lang w:bidi="zh-TW"/>
              </w:rPr>
              <w:t>300mm。</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pacing w:val="-2"/>
                <w:sz w:val="21"/>
                <w:szCs w:val="21"/>
                <w:highlight w:val="none"/>
              </w:rPr>
            </w:pPr>
            <w:r>
              <w:rPr>
                <w:rFonts w:hint="eastAsia" w:ascii="宋体" w:hAnsi="宋体" w:eastAsia="宋体" w:cs="宋体"/>
                <w:color w:val="auto"/>
                <w:sz w:val="21"/>
                <w:szCs w:val="21"/>
                <w:highlight w:val="none"/>
                <w:lang w:bidi="zh-TW"/>
              </w:rPr>
              <w:t xml:space="preserve">5 管沟开挖过程中，应定时测量管沟尺寸。管沟开挖完成后，应对管沟进行测量，并应做好记录。 </w:t>
            </w:r>
            <w:r>
              <w:rPr>
                <w:rFonts w:hint="eastAsia" w:ascii="宋体" w:hAnsi="宋体" w:eastAsia="宋体" w:cs="宋体"/>
                <w:color w:val="auto"/>
                <w:spacing w:val="-2"/>
                <w:sz w:val="21"/>
                <w:szCs w:val="21"/>
                <w:highlight w:val="none"/>
              </w:rPr>
              <w:t xml:space="preserve">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2"/>
                <w:sz w:val="21"/>
                <w:szCs w:val="21"/>
                <w:highlight w:val="none"/>
              </w:rPr>
            </w:pPr>
            <w:r>
              <w:rPr>
                <w:rFonts w:hint="eastAsia" w:ascii="宋体" w:hAnsi="宋体" w:eastAsia="宋体" w:cs="宋体"/>
                <w:color w:val="auto"/>
                <w:spacing w:val="9"/>
                <w:sz w:val="21"/>
                <w:szCs w:val="21"/>
                <w:highlight w:val="none"/>
              </w:rPr>
              <w:t>5.2.7</w:t>
            </w:r>
            <w:r>
              <w:rPr>
                <w:rFonts w:hint="eastAsia" w:ascii="宋体" w:hAnsi="宋体" w:eastAsia="宋体" w:cs="宋体"/>
                <w:color w:val="auto"/>
                <w:spacing w:val="-2"/>
                <w:sz w:val="21"/>
                <w:szCs w:val="21"/>
                <w:highlight w:val="none"/>
              </w:rPr>
              <w:t xml:space="preserve">带水开挖穿越的稳管施工应符合下列规定： </w:t>
            </w:r>
          </w:p>
          <w:p>
            <w:pPr>
              <w:keepNext w:val="0"/>
              <w:keepLines w:val="0"/>
              <w:pageBreakBefore w:val="0"/>
              <w:kinsoku/>
              <w:wordWrap/>
              <w:overflowPunct/>
              <w:topLinePunct w:val="0"/>
              <w:autoSpaceDE/>
              <w:autoSpaceDN/>
              <w:bidi w:val="0"/>
              <w:spacing w:line="260" w:lineRule="atLeast"/>
              <w:ind w:left="0" w:firstLine="206" w:firstLineChars="100"/>
              <w:jc w:val="left"/>
              <w:rPr>
                <w:rFonts w:hint="eastAsia" w:ascii="宋体" w:hAnsi="宋体" w:eastAsia="宋体" w:cs="宋体"/>
                <w:color w:val="auto"/>
                <w:spacing w:val="-2"/>
                <w:sz w:val="21"/>
                <w:szCs w:val="21"/>
                <w:highlight w:val="none"/>
              </w:rPr>
            </w:pPr>
            <w:r>
              <w:rPr>
                <w:rFonts w:hint="eastAsia" w:ascii="宋体" w:hAnsi="宋体" w:eastAsia="宋体" w:cs="宋体"/>
                <w:color w:val="auto"/>
                <w:spacing w:val="-2"/>
                <w:sz w:val="21"/>
                <w:szCs w:val="21"/>
                <w:highlight w:val="none"/>
              </w:rPr>
              <w:t>1 管道应按设计要求进行稳管。</w:t>
            </w:r>
          </w:p>
          <w:p>
            <w:pPr>
              <w:keepNext w:val="0"/>
              <w:keepLines w:val="0"/>
              <w:pageBreakBefore w:val="0"/>
              <w:kinsoku/>
              <w:wordWrap/>
              <w:overflowPunct/>
              <w:topLinePunct w:val="0"/>
              <w:autoSpaceDE/>
              <w:autoSpaceDN/>
              <w:bidi w:val="0"/>
              <w:spacing w:line="260" w:lineRule="atLeast"/>
              <w:ind w:left="0" w:firstLine="206" w:firstLineChars="100"/>
              <w:jc w:val="left"/>
              <w:rPr>
                <w:rFonts w:hint="eastAsia" w:ascii="宋体" w:hAnsi="宋体" w:eastAsia="宋体" w:cs="宋体"/>
                <w:color w:val="auto"/>
                <w:spacing w:val="-2"/>
                <w:sz w:val="21"/>
                <w:szCs w:val="21"/>
                <w:highlight w:val="none"/>
              </w:rPr>
            </w:pPr>
            <w:r>
              <w:rPr>
                <w:rFonts w:hint="eastAsia" w:ascii="宋体" w:hAnsi="宋体" w:eastAsia="宋体" w:cs="宋体"/>
                <w:color w:val="auto"/>
                <w:spacing w:val="-2"/>
                <w:sz w:val="21"/>
                <w:szCs w:val="21"/>
                <w:highlight w:val="none"/>
              </w:rPr>
              <w:t>2 穿越管段在安放配重块、石笼、浇筑混凝土连续覆盖层时，不应损坏管道的防腐层。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3 复壁管环形空间注水泥浆前，内管应充满水，并应且保持一定的压力。注浆时应在排放口取样，并应测定排放口水泥浆的相对密度，待达到设计相对密度时应停止注浆。</w:t>
            </w:r>
          </w:p>
          <w:p>
            <w:pPr>
              <w:keepNext w:val="0"/>
              <w:keepLines w:val="0"/>
              <w:pageBreakBefore w:val="0"/>
              <w:kinsoku/>
              <w:wordWrap/>
              <w:overflowPunct/>
              <w:topLinePunct w:val="0"/>
              <w:autoSpaceDE/>
              <w:autoSpaceDN/>
              <w:bidi w:val="0"/>
              <w:spacing w:line="260" w:lineRule="atLeast"/>
              <w:ind w:left="0" w:firstLine="206" w:firstLineChars="100"/>
              <w:jc w:val="left"/>
              <w:rPr>
                <w:rFonts w:hint="eastAsia" w:ascii="宋体" w:hAnsi="宋体" w:eastAsia="宋体" w:cs="宋体"/>
                <w:color w:val="auto"/>
                <w:spacing w:val="-2"/>
                <w:sz w:val="21"/>
                <w:szCs w:val="21"/>
                <w:highlight w:val="none"/>
              </w:rPr>
            </w:pPr>
            <w:r>
              <w:rPr>
                <w:rFonts w:hint="eastAsia" w:ascii="宋体" w:hAnsi="宋体" w:eastAsia="宋体" w:cs="宋体"/>
                <w:color w:val="auto"/>
                <w:spacing w:val="-2"/>
                <w:sz w:val="21"/>
                <w:szCs w:val="21"/>
                <w:highlight w:val="none"/>
              </w:rPr>
              <w:t>4 水泥浆性能应符合表5.2.7的规定。</w:t>
            </w:r>
          </w:p>
          <w:p>
            <w:pPr>
              <w:keepNext w:val="0"/>
              <w:keepLines w:val="0"/>
              <w:pageBreakBefore w:val="0"/>
              <w:kinsoku/>
              <w:wordWrap/>
              <w:overflowPunct/>
              <w:topLinePunct w:val="0"/>
              <w:autoSpaceDE/>
              <w:autoSpaceDN/>
              <w:bidi w:val="0"/>
              <w:spacing w:line="260" w:lineRule="atLeast"/>
              <w:ind w:left="0" w:firstLine="3090" w:firstLineChars="1500"/>
              <w:jc w:val="left"/>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表5.2.7 水泥浆性能</w:t>
            </w:r>
          </w:p>
          <w:tbl>
            <w:tblPr>
              <w:tblStyle w:val="121"/>
              <w:tblW w:w="4999"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2622"/>
              <w:gridCol w:w="2665"/>
              <w:gridCol w:w="2613"/>
              <w:gridCol w:w="293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7" w:hRule="atLeast"/>
                <w:jc w:val="center"/>
              </w:trPr>
              <w:tc>
                <w:tcPr>
                  <w:tcW w:w="1210"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206" w:firstLineChars="100"/>
                    <w:jc w:val="left"/>
                    <w:rPr>
                      <w:rFonts w:hint="eastAsia" w:ascii="宋体" w:hAnsi="宋体" w:eastAsia="宋体" w:cs="宋体"/>
                      <w:color w:val="auto"/>
                      <w:spacing w:val="-2"/>
                      <w:sz w:val="21"/>
                      <w:szCs w:val="21"/>
                      <w:highlight w:val="none"/>
                      <w:lang w:eastAsia="zh-CN"/>
                    </w:rPr>
                  </w:pPr>
                  <w:r>
                    <w:rPr>
                      <w:rFonts w:hint="eastAsia" w:ascii="宋体" w:hAnsi="宋体" w:eastAsia="宋体" w:cs="宋体"/>
                      <w:color w:val="auto"/>
                      <w:spacing w:val="-2"/>
                      <w:sz w:val="21"/>
                      <w:szCs w:val="21"/>
                      <w:highlight w:val="none"/>
                    </w:rPr>
                    <w:t>流动度</w:t>
                  </w:r>
                  <w:r>
                    <w:rPr>
                      <w:rFonts w:hint="eastAsia" w:ascii="宋体" w:hAnsi="宋体" w:eastAsia="宋体" w:cs="宋体"/>
                      <w:color w:val="auto"/>
                      <w:spacing w:val="-2"/>
                      <w:sz w:val="21"/>
                      <w:szCs w:val="21"/>
                      <w:highlight w:val="none"/>
                      <w:lang w:eastAsia="zh-CN"/>
                    </w:rPr>
                    <w:t>（</w:t>
                  </w:r>
                  <w:r>
                    <w:rPr>
                      <w:rFonts w:hint="eastAsia" w:ascii="宋体" w:hAnsi="宋体" w:eastAsia="宋体" w:cs="宋体"/>
                      <w:color w:val="auto"/>
                      <w:spacing w:val="-2"/>
                      <w:sz w:val="21"/>
                      <w:szCs w:val="21"/>
                      <w:highlight w:val="none"/>
                    </w:rPr>
                    <w:t>m</w:t>
                  </w:r>
                  <w:r>
                    <w:rPr>
                      <w:rFonts w:hint="eastAsia" w:ascii="宋体" w:hAnsi="宋体" w:eastAsia="宋体" w:cs="宋体"/>
                      <w:color w:val="auto"/>
                      <w:spacing w:val="-2"/>
                      <w:sz w:val="21"/>
                      <w:szCs w:val="21"/>
                      <w:highlight w:val="none"/>
                      <w:lang w:eastAsia="zh-CN"/>
                    </w:rPr>
                    <w:t>）</w:t>
                  </w:r>
                </w:p>
              </w:tc>
              <w:tc>
                <w:tcPr>
                  <w:tcW w:w="1230"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206" w:firstLineChars="100"/>
                    <w:jc w:val="left"/>
                    <w:rPr>
                      <w:rFonts w:hint="eastAsia" w:ascii="宋体" w:hAnsi="宋体" w:eastAsia="宋体" w:cs="宋体"/>
                      <w:color w:val="auto"/>
                      <w:spacing w:val="-2"/>
                      <w:sz w:val="21"/>
                      <w:szCs w:val="21"/>
                      <w:highlight w:val="none"/>
                      <w:lang w:eastAsia="zh-CN"/>
                    </w:rPr>
                  </w:pPr>
                  <w:r>
                    <w:rPr>
                      <w:rFonts w:hint="eastAsia" w:ascii="宋体" w:hAnsi="宋体" w:eastAsia="宋体" w:cs="宋体"/>
                      <w:color w:val="auto"/>
                      <w:spacing w:val="-2"/>
                      <w:sz w:val="21"/>
                      <w:szCs w:val="21"/>
                      <w:highlight w:val="none"/>
                    </w:rPr>
                    <w:t>初凝时间</w:t>
                  </w:r>
                  <w:r>
                    <w:rPr>
                      <w:rFonts w:hint="eastAsia" w:ascii="宋体" w:hAnsi="宋体" w:eastAsia="宋体" w:cs="宋体"/>
                      <w:color w:val="auto"/>
                      <w:spacing w:val="-2"/>
                      <w:sz w:val="21"/>
                      <w:szCs w:val="21"/>
                      <w:highlight w:val="none"/>
                      <w:lang w:eastAsia="zh-CN"/>
                    </w:rPr>
                    <w:t>（</w:t>
                  </w:r>
                  <w:r>
                    <w:rPr>
                      <w:rFonts w:hint="eastAsia" w:ascii="宋体" w:hAnsi="宋体" w:eastAsia="宋体" w:cs="宋体"/>
                      <w:color w:val="auto"/>
                      <w:spacing w:val="-2"/>
                      <w:sz w:val="21"/>
                      <w:szCs w:val="21"/>
                      <w:highlight w:val="none"/>
                    </w:rPr>
                    <w:t>h</w:t>
                  </w:r>
                  <w:r>
                    <w:rPr>
                      <w:rFonts w:hint="eastAsia" w:ascii="宋体" w:hAnsi="宋体" w:eastAsia="宋体" w:cs="宋体"/>
                      <w:color w:val="auto"/>
                      <w:spacing w:val="-2"/>
                      <w:sz w:val="21"/>
                      <w:szCs w:val="21"/>
                      <w:highlight w:val="none"/>
                      <w:lang w:eastAsia="zh-CN"/>
                    </w:rPr>
                    <w:t>）</w:t>
                  </w:r>
                </w:p>
              </w:tc>
              <w:tc>
                <w:tcPr>
                  <w:tcW w:w="120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206" w:firstLineChars="100"/>
                    <w:jc w:val="left"/>
                    <w:rPr>
                      <w:rFonts w:hint="eastAsia" w:ascii="宋体" w:hAnsi="宋体" w:eastAsia="宋体" w:cs="宋体"/>
                      <w:color w:val="auto"/>
                      <w:spacing w:val="-2"/>
                      <w:sz w:val="21"/>
                      <w:szCs w:val="21"/>
                      <w:highlight w:val="none"/>
                      <w:lang w:eastAsia="zh-CN"/>
                    </w:rPr>
                  </w:pPr>
                  <w:r>
                    <w:rPr>
                      <w:rFonts w:hint="eastAsia" w:ascii="宋体" w:hAnsi="宋体" w:eastAsia="宋体" w:cs="宋体"/>
                      <w:color w:val="auto"/>
                      <w:spacing w:val="-2"/>
                      <w:sz w:val="21"/>
                      <w:szCs w:val="21"/>
                      <w:highlight w:val="none"/>
                    </w:rPr>
                    <w:t>终凝时间</w:t>
                  </w:r>
                  <w:r>
                    <w:rPr>
                      <w:rFonts w:hint="eastAsia" w:ascii="宋体" w:hAnsi="宋体" w:eastAsia="宋体" w:cs="宋体"/>
                      <w:color w:val="auto"/>
                      <w:spacing w:val="-2"/>
                      <w:sz w:val="21"/>
                      <w:szCs w:val="21"/>
                      <w:highlight w:val="none"/>
                      <w:lang w:eastAsia="zh-CN"/>
                    </w:rPr>
                    <w:t>（</w:t>
                  </w:r>
                  <w:r>
                    <w:rPr>
                      <w:rFonts w:hint="eastAsia" w:ascii="宋体" w:hAnsi="宋体" w:eastAsia="宋体" w:cs="宋体"/>
                      <w:color w:val="auto"/>
                      <w:spacing w:val="-2"/>
                      <w:sz w:val="21"/>
                      <w:szCs w:val="21"/>
                      <w:highlight w:val="none"/>
                    </w:rPr>
                    <w:t>h</w:t>
                  </w:r>
                  <w:r>
                    <w:rPr>
                      <w:rFonts w:hint="eastAsia" w:ascii="宋体" w:hAnsi="宋体" w:eastAsia="宋体" w:cs="宋体"/>
                      <w:color w:val="auto"/>
                      <w:spacing w:val="-2"/>
                      <w:sz w:val="21"/>
                      <w:szCs w:val="21"/>
                      <w:highlight w:val="none"/>
                      <w:lang w:eastAsia="zh-CN"/>
                    </w:rPr>
                    <w:t>）</w:t>
                  </w:r>
                </w:p>
              </w:tc>
              <w:tc>
                <w:tcPr>
                  <w:tcW w:w="1353"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206" w:firstLineChars="100"/>
                    <w:jc w:val="left"/>
                    <w:rPr>
                      <w:rFonts w:hint="eastAsia" w:ascii="宋体" w:hAnsi="宋体" w:eastAsia="宋体" w:cs="宋体"/>
                      <w:color w:val="auto"/>
                      <w:spacing w:val="-2"/>
                      <w:sz w:val="21"/>
                      <w:szCs w:val="21"/>
                      <w:highlight w:val="none"/>
                      <w:lang w:eastAsia="zh-CN"/>
                    </w:rPr>
                  </w:pPr>
                  <w:r>
                    <w:rPr>
                      <w:rFonts w:hint="eastAsia" w:ascii="宋体" w:hAnsi="宋体" w:eastAsia="宋体" w:cs="宋体"/>
                      <w:color w:val="auto"/>
                      <w:spacing w:val="-2"/>
                      <w:sz w:val="21"/>
                      <w:szCs w:val="21"/>
                      <w:highlight w:val="none"/>
                    </w:rPr>
                    <w:t>密度</w:t>
                  </w:r>
                  <w:r>
                    <w:rPr>
                      <w:rFonts w:hint="eastAsia" w:ascii="宋体" w:hAnsi="宋体" w:eastAsia="宋体" w:cs="宋体"/>
                      <w:color w:val="auto"/>
                      <w:spacing w:val="-2"/>
                      <w:sz w:val="21"/>
                      <w:szCs w:val="21"/>
                      <w:highlight w:val="none"/>
                      <w:lang w:eastAsia="zh-CN"/>
                    </w:rPr>
                    <w:t>（</w:t>
                  </w:r>
                  <w:r>
                    <w:rPr>
                      <w:rFonts w:hint="eastAsia" w:ascii="宋体" w:hAnsi="宋体" w:eastAsia="宋体" w:cs="宋体"/>
                      <w:color w:val="auto"/>
                      <w:spacing w:val="-2"/>
                      <w:sz w:val="21"/>
                      <w:szCs w:val="21"/>
                      <w:highlight w:val="none"/>
                    </w:rPr>
                    <w:t>kg/m³</w:t>
                  </w:r>
                  <w:r>
                    <w:rPr>
                      <w:rFonts w:hint="eastAsia" w:ascii="宋体" w:hAnsi="宋体" w:eastAsia="宋体" w:cs="宋体"/>
                      <w:color w:val="auto"/>
                      <w:spacing w:val="-2"/>
                      <w:sz w:val="21"/>
                      <w:szCs w:val="21"/>
                      <w:highlight w:val="none"/>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jc w:val="center"/>
              </w:trPr>
              <w:tc>
                <w:tcPr>
                  <w:tcW w:w="1210"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206" w:firstLineChars="100"/>
                    <w:jc w:val="left"/>
                    <w:rPr>
                      <w:rFonts w:hint="eastAsia" w:ascii="宋体" w:hAnsi="宋体" w:eastAsia="宋体" w:cs="宋体"/>
                      <w:color w:val="auto"/>
                      <w:spacing w:val="-2"/>
                      <w:sz w:val="21"/>
                      <w:szCs w:val="21"/>
                      <w:highlight w:val="none"/>
                    </w:rPr>
                  </w:pPr>
                  <w:r>
                    <w:rPr>
                      <w:rFonts w:hint="eastAsia" w:ascii="宋体" w:hAnsi="宋体" w:eastAsia="宋体" w:cs="宋体"/>
                      <w:color w:val="auto"/>
                      <w:spacing w:val="-2"/>
                      <w:sz w:val="21"/>
                      <w:szCs w:val="21"/>
                      <w:highlight w:val="none"/>
                    </w:rPr>
                    <w:t>≥0.16</w:t>
                  </w:r>
                </w:p>
              </w:tc>
              <w:tc>
                <w:tcPr>
                  <w:tcW w:w="1230"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206" w:firstLineChars="100"/>
                    <w:jc w:val="left"/>
                    <w:rPr>
                      <w:rFonts w:hint="eastAsia" w:ascii="宋体" w:hAnsi="宋体" w:eastAsia="宋体" w:cs="宋体"/>
                      <w:color w:val="auto"/>
                      <w:spacing w:val="-2"/>
                      <w:sz w:val="21"/>
                      <w:szCs w:val="21"/>
                      <w:highlight w:val="none"/>
                    </w:rPr>
                  </w:pPr>
                  <w:r>
                    <w:rPr>
                      <w:rFonts w:hint="eastAsia" w:ascii="宋体" w:hAnsi="宋体" w:eastAsia="宋体" w:cs="宋体"/>
                      <w:color w:val="auto"/>
                      <w:spacing w:val="-2"/>
                      <w:sz w:val="21"/>
                      <w:szCs w:val="21"/>
                      <w:highlight w:val="none"/>
                    </w:rPr>
                    <w:t>8～10</w:t>
                  </w:r>
                </w:p>
              </w:tc>
              <w:tc>
                <w:tcPr>
                  <w:tcW w:w="1206"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206" w:firstLineChars="100"/>
                    <w:jc w:val="left"/>
                    <w:rPr>
                      <w:rFonts w:hint="eastAsia" w:ascii="宋体" w:hAnsi="宋体" w:eastAsia="宋体" w:cs="宋体"/>
                      <w:color w:val="auto"/>
                      <w:spacing w:val="-2"/>
                      <w:sz w:val="21"/>
                      <w:szCs w:val="21"/>
                      <w:highlight w:val="none"/>
                    </w:rPr>
                  </w:pPr>
                  <w:r>
                    <w:rPr>
                      <w:rFonts w:hint="eastAsia" w:ascii="宋体" w:hAnsi="宋体" w:eastAsia="宋体" w:cs="宋体"/>
                      <w:color w:val="auto"/>
                      <w:spacing w:val="-2"/>
                      <w:sz w:val="21"/>
                      <w:szCs w:val="21"/>
                      <w:highlight w:val="none"/>
                    </w:rPr>
                    <w:t>18～24</w:t>
                  </w:r>
                </w:p>
              </w:tc>
              <w:tc>
                <w:tcPr>
                  <w:tcW w:w="1353" w:type="pct"/>
                  <w:tcBorders>
                    <w:top w:val="single" w:color="000000" w:sz="2" w:space="0"/>
                    <w:bottom w:val="single" w:color="000000" w:sz="2" w:space="0"/>
                  </w:tcBorders>
                  <w:vAlign w:val="center"/>
                </w:tcPr>
                <w:p>
                  <w:pPr>
                    <w:keepNext w:val="0"/>
                    <w:keepLines w:val="0"/>
                    <w:pageBreakBefore w:val="0"/>
                    <w:kinsoku/>
                    <w:wordWrap/>
                    <w:overflowPunct/>
                    <w:topLinePunct w:val="0"/>
                    <w:autoSpaceDE/>
                    <w:autoSpaceDN/>
                    <w:bidi w:val="0"/>
                    <w:spacing w:line="260" w:lineRule="atLeast"/>
                    <w:ind w:left="0" w:firstLine="206" w:firstLineChars="100"/>
                    <w:jc w:val="left"/>
                    <w:rPr>
                      <w:rFonts w:hint="eastAsia" w:ascii="宋体" w:hAnsi="宋体" w:eastAsia="宋体" w:cs="宋体"/>
                      <w:color w:val="auto"/>
                      <w:spacing w:val="-2"/>
                      <w:sz w:val="21"/>
                      <w:szCs w:val="21"/>
                      <w:highlight w:val="none"/>
                    </w:rPr>
                  </w:pPr>
                  <w:r>
                    <w:rPr>
                      <w:rFonts w:hint="eastAsia" w:ascii="宋体" w:hAnsi="宋体" w:eastAsia="宋体" w:cs="宋体"/>
                      <w:color w:val="auto"/>
                      <w:spacing w:val="-2"/>
                      <w:sz w:val="21"/>
                      <w:szCs w:val="21"/>
                      <w:highlight w:val="none"/>
                    </w:rPr>
                    <w:t>≥1800</w:t>
                  </w:r>
                </w:p>
              </w:tc>
            </w:tr>
          </w:tbl>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5.2.8 管沟回填应符合下列规定：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rPr>
              <w:t xml:space="preserve">1 </w:t>
            </w:r>
            <w:r>
              <w:rPr>
                <w:rFonts w:hint="eastAsia" w:ascii="宋体" w:hAnsi="宋体" w:eastAsia="宋体" w:cs="宋体"/>
                <w:color w:val="auto"/>
                <w:sz w:val="21"/>
                <w:szCs w:val="21"/>
                <w:highlight w:val="none"/>
                <w:lang w:bidi="zh-TW"/>
              </w:rPr>
              <w:t>回填前应对下沟管道进行标高测量和管道中心线测量</w:t>
            </w:r>
            <w:r>
              <w:rPr>
                <w:rFonts w:hint="eastAsia" w:ascii="宋体" w:hAnsi="宋体" w:eastAsia="宋体" w:cs="宋体"/>
                <w:color w:val="auto"/>
                <w:sz w:val="21"/>
                <w:szCs w:val="21"/>
                <w:highlight w:val="none"/>
                <w:lang w:eastAsia="zh-CN" w:bidi="zh-TW"/>
              </w:rPr>
              <w:t>，</w:t>
            </w:r>
            <w:r>
              <w:rPr>
                <w:rFonts w:hint="eastAsia" w:ascii="宋体" w:hAnsi="宋体" w:eastAsia="宋体" w:cs="宋体"/>
                <w:color w:val="auto"/>
                <w:sz w:val="21"/>
                <w:szCs w:val="21"/>
                <w:highlight w:val="none"/>
                <w:lang w:bidi="zh-TW"/>
              </w:rPr>
              <w:t>合格后方可进行管沟回填；</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2 设计为自然回淤的管沟，应在管道下沟敷管完成后，采用人工回填1/3的覆盖深度，或采取其他稳管措施；</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TW"/>
              </w:rPr>
              <w:t xml:space="preserve">3 回填后应对管道的中心线、标高进行复验，并应符合设计要求。 </w:t>
            </w:r>
            <w:r>
              <w:rPr>
                <w:rFonts w:hint="eastAsia" w:ascii="宋体" w:hAnsi="宋体" w:eastAsia="宋体" w:cs="宋体"/>
                <w:color w:val="auto"/>
                <w:sz w:val="21"/>
                <w:szCs w:val="21"/>
                <w:highlight w:val="non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《燃气工程项目规范》GB55009-2021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rPr>
              <w:t xml:space="preserve">5.1.8 </w:t>
            </w:r>
            <w:r>
              <w:rPr>
                <w:rFonts w:hint="eastAsia" w:ascii="宋体" w:hAnsi="宋体" w:eastAsia="宋体" w:cs="宋体"/>
                <w:color w:val="auto"/>
                <w:sz w:val="21"/>
                <w:szCs w:val="21"/>
                <w:highlight w:val="none"/>
                <w:lang w:bidi="zh-TW"/>
              </w:rPr>
              <w:t>河底穿越输配管道时，管道至河床的覆土厚度应根据水流冲刷条件及规划河床标高确定。对于通航的河流，应满足疏浚和投锚的深度要求。输配管道穿越河流两岸的上、下游位置应设立标志。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3.2.5.2</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穿跨越管道敷设</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水平定向钻穿越施工应符合设计和相关标准的要求。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《城镇燃气管道穿跨越工程技术规程》</w:t>
            </w:r>
            <w:r>
              <w:rPr>
                <w:rFonts w:hint="eastAsia" w:ascii="宋体" w:hAnsi="宋体" w:eastAsia="宋体" w:cs="宋体"/>
                <w:color w:val="auto"/>
                <w:sz w:val="21"/>
                <w:szCs w:val="21"/>
                <w:highlight w:val="none"/>
                <w:lang w:eastAsia="zh-CN"/>
              </w:rPr>
              <w:t>CJJ/T</w:t>
            </w:r>
            <w:r>
              <w:rPr>
                <w:rFonts w:hint="eastAsia" w:ascii="宋体" w:hAnsi="宋体" w:eastAsia="宋体" w:cs="宋体"/>
                <w:color w:val="auto"/>
                <w:sz w:val="21"/>
                <w:szCs w:val="21"/>
                <w:highlight w:val="none"/>
              </w:rPr>
              <w:t>250-2016</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4</w:t>
            </w:r>
            <w:r>
              <w:rPr>
                <w:rFonts w:hint="eastAsia" w:ascii="宋体" w:hAnsi="宋体" w:eastAsia="宋体" w:cs="宋体"/>
                <w:color w:val="auto"/>
                <w:kern w:val="0"/>
                <w:sz w:val="21"/>
                <w:szCs w:val="21"/>
                <w:highlight w:val="none"/>
                <w:lang w:bidi="ar"/>
              </w:rPr>
              <w:t xml:space="preserve">.3.2 采用水平定向钻法穿越时，穿越管段与桥梁的水平净距应符合下列规定：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1 穿越管段与桥梁墩台冲刷坑外边缘的水平净距不宜小于10m</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 xml:space="preserve">且不应影响桥梁墩台安全；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2 当穿越小型水域</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水沟</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，且燃气管道设计压力小于等于0.4MPa时，在保证桥梁和燃气管道安全情况下，穿越管段与城市桥梁墩台冲刷坑外边缘不应小于4.5m</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并应征得桥梁等管理部门的同意。</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4.3.3 水平定向钻穿越的管材选择应符合下列规定：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1 当穿越管道的管径大于DN400或长度大于300m时，宜采用钢管，并应符合现行国家标准《城镇燃气设计规范》GB50028的有关规定；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2 当</w:t>
            </w:r>
            <w:r>
              <w:rPr>
                <w:rFonts w:hint="eastAsia" w:ascii="宋体" w:hAnsi="宋体" w:eastAsia="宋体" w:cs="宋体"/>
                <w:color w:val="auto"/>
                <w:kern w:val="0"/>
                <w:sz w:val="21"/>
                <w:szCs w:val="21"/>
                <w:highlight w:val="none"/>
                <w:lang w:eastAsia="zh-CN" w:bidi="ar"/>
              </w:rPr>
              <w:t>采用</w:t>
            </w:r>
            <w:r>
              <w:rPr>
                <w:rFonts w:hint="eastAsia" w:ascii="宋体" w:hAnsi="宋体" w:eastAsia="宋体" w:cs="宋体"/>
                <w:color w:val="auto"/>
                <w:kern w:val="0"/>
                <w:sz w:val="21"/>
                <w:szCs w:val="21"/>
                <w:highlight w:val="none"/>
                <w:lang w:bidi="ar"/>
              </w:rPr>
              <w:t>PE管材时，应</w:t>
            </w:r>
            <w:r>
              <w:rPr>
                <w:rFonts w:hint="eastAsia" w:ascii="宋体" w:hAnsi="宋体" w:eastAsia="宋体" w:cs="宋体"/>
                <w:color w:val="auto"/>
                <w:kern w:val="0"/>
                <w:sz w:val="21"/>
                <w:szCs w:val="21"/>
                <w:highlight w:val="none"/>
                <w:lang w:eastAsia="zh-CN" w:bidi="ar"/>
              </w:rPr>
              <w:t>采用</w:t>
            </w:r>
            <w:r>
              <w:rPr>
                <w:rFonts w:hint="eastAsia" w:ascii="宋体" w:hAnsi="宋体" w:eastAsia="宋体" w:cs="宋体"/>
                <w:color w:val="auto"/>
                <w:kern w:val="0"/>
                <w:sz w:val="21"/>
                <w:szCs w:val="21"/>
                <w:highlight w:val="none"/>
                <w:lang w:bidi="ar"/>
              </w:rPr>
              <w:t>SDRll系列管材，并应符合现行国家标准《燃气用埋地聚乙烯</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PE) 管道系统部分 第1部分：管材</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GB15558.1的有关规定。</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4.3.4 水平定向钻穿越时，燃气管道至规划河床的覆土厚度不宜小于3m。</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4.3.8 水平定向钻穿越的入土角和出土角，应根据穿越长度、穿越深度和管道弹性敷设条件等综合确定。入土角宜</w:t>
            </w:r>
            <w:r>
              <w:rPr>
                <w:rFonts w:hint="eastAsia" w:ascii="宋体" w:hAnsi="宋体" w:eastAsia="宋体" w:cs="宋体"/>
                <w:color w:val="auto"/>
                <w:kern w:val="0"/>
                <w:sz w:val="21"/>
                <w:szCs w:val="21"/>
                <w:highlight w:val="none"/>
                <w:lang w:eastAsia="zh-CN" w:bidi="ar"/>
              </w:rPr>
              <w:t>为</w:t>
            </w:r>
            <w:r>
              <w:rPr>
                <w:rFonts w:hint="eastAsia" w:ascii="宋体" w:hAnsi="宋体" w:eastAsia="宋体" w:cs="宋体"/>
                <w:color w:val="auto"/>
                <w:kern w:val="0"/>
                <w:sz w:val="21"/>
                <w:szCs w:val="21"/>
                <w:highlight w:val="none"/>
                <w:lang w:bidi="ar"/>
              </w:rPr>
              <w:t>8°</w:t>
            </w:r>
            <w:r>
              <w:rPr>
                <w:rFonts w:hint="eastAsia" w:ascii="宋体" w:hAnsi="宋体" w:eastAsia="宋体" w:cs="宋体"/>
                <w:color w:val="auto"/>
                <w:spacing w:val="-2"/>
                <w:sz w:val="21"/>
                <w:szCs w:val="21"/>
                <w:highlight w:val="none"/>
              </w:rPr>
              <w:t>～</w:t>
            </w:r>
            <w:r>
              <w:rPr>
                <w:rFonts w:hint="eastAsia" w:ascii="宋体" w:hAnsi="宋体" w:eastAsia="宋体" w:cs="宋体"/>
                <w:color w:val="auto"/>
                <w:kern w:val="0"/>
                <w:sz w:val="21"/>
                <w:szCs w:val="21"/>
                <w:highlight w:val="none"/>
                <w:lang w:bidi="ar"/>
              </w:rPr>
              <w:t>18°，出土角宜</w:t>
            </w:r>
            <w:r>
              <w:rPr>
                <w:rFonts w:hint="eastAsia" w:ascii="宋体" w:hAnsi="宋体" w:eastAsia="宋体" w:cs="宋体"/>
                <w:color w:val="auto"/>
                <w:kern w:val="0"/>
                <w:sz w:val="21"/>
                <w:szCs w:val="21"/>
                <w:highlight w:val="none"/>
                <w:lang w:eastAsia="zh-CN" w:bidi="ar"/>
              </w:rPr>
              <w:t>为</w:t>
            </w:r>
            <w:r>
              <w:rPr>
                <w:rFonts w:hint="eastAsia" w:ascii="宋体" w:hAnsi="宋体" w:eastAsia="宋体" w:cs="宋体"/>
                <w:color w:val="auto"/>
                <w:kern w:val="0"/>
                <w:sz w:val="21"/>
                <w:szCs w:val="21"/>
                <w:highlight w:val="none"/>
                <w:lang w:bidi="ar"/>
              </w:rPr>
              <w:t>4°</w:t>
            </w:r>
            <w:r>
              <w:rPr>
                <w:rFonts w:hint="eastAsia" w:ascii="宋体" w:hAnsi="宋体" w:eastAsia="宋体" w:cs="宋体"/>
                <w:color w:val="auto"/>
                <w:spacing w:val="-2"/>
                <w:sz w:val="21"/>
                <w:szCs w:val="21"/>
                <w:highlight w:val="none"/>
              </w:rPr>
              <w:t>～</w:t>
            </w:r>
            <w:r>
              <w:rPr>
                <w:rFonts w:hint="eastAsia" w:ascii="宋体" w:hAnsi="宋体" w:eastAsia="宋体" w:cs="宋体"/>
                <w:color w:val="auto"/>
                <w:kern w:val="0"/>
                <w:sz w:val="21"/>
                <w:szCs w:val="21"/>
                <w:highlight w:val="none"/>
                <w:lang w:bidi="ar"/>
              </w:rPr>
              <w:t>12°。</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4.3.10 水平定向钻穿越的曲率半径应符合下列规定：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1 当采用钢管时，曲率半径不宜小于钢管管径</w:t>
            </w:r>
            <w:r>
              <w:rPr>
                <w:rFonts w:hint="eastAsia" w:ascii="宋体" w:hAnsi="宋体" w:eastAsia="宋体" w:cs="宋体"/>
                <w:color w:val="auto"/>
                <w:kern w:val="0"/>
                <w:sz w:val="21"/>
                <w:szCs w:val="21"/>
                <w:highlight w:val="none"/>
                <w:lang w:eastAsia="zh-CN" w:bidi="ar"/>
              </w:rPr>
              <w:t>的</w:t>
            </w:r>
            <w:r>
              <w:rPr>
                <w:rFonts w:hint="eastAsia" w:ascii="宋体" w:hAnsi="宋体" w:eastAsia="宋体" w:cs="宋体"/>
                <w:color w:val="auto"/>
                <w:kern w:val="0"/>
                <w:sz w:val="21"/>
                <w:szCs w:val="21"/>
                <w:highlight w:val="none"/>
                <w:lang w:bidi="ar"/>
              </w:rPr>
              <w:t>1500倍，且不应小于1200倍；</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 xml:space="preserve">2 当采用PE管时，曲率半径不应小于PE管管径的500倍。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pacing w:val="9"/>
                <w:sz w:val="21"/>
                <w:szCs w:val="21"/>
                <w:highlight w:val="none"/>
              </w:rPr>
            </w:pPr>
            <w:r>
              <w:rPr>
                <w:rFonts w:hint="eastAsia" w:ascii="宋体" w:hAnsi="宋体" w:eastAsia="宋体" w:cs="宋体"/>
                <w:color w:val="auto"/>
                <w:spacing w:val="-3"/>
                <w:sz w:val="21"/>
                <w:szCs w:val="21"/>
                <w:highlight w:val="none"/>
              </w:rPr>
              <w:t>4.3.12</w:t>
            </w:r>
            <w:r>
              <w:rPr>
                <w:rFonts w:hint="eastAsia" w:ascii="宋体" w:hAnsi="宋体" w:eastAsia="宋体" w:cs="宋体"/>
                <w:color w:val="auto"/>
                <w:spacing w:val="9"/>
                <w:sz w:val="21"/>
                <w:szCs w:val="21"/>
                <w:highlight w:val="none"/>
              </w:rPr>
              <w:t xml:space="preserve"> </w:t>
            </w:r>
            <w:r>
              <w:rPr>
                <w:rFonts w:hint="eastAsia" w:ascii="宋体" w:hAnsi="宋体" w:eastAsia="宋体" w:cs="宋体"/>
                <w:color w:val="auto"/>
                <w:spacing w:val="-3"/>
                <w:sz w:val="21"/>
                <w:szCs w:val="21"/>
                <w:highlight w:val="none"/>
              </w:rPr>
              <w:t>当采用钢管穿越时，应对管道外防腐层进行防护，</w:t>
            </w:r>
            <w:r>
              <w:rPr>
                <w:rFonts w:hint="eastAsia" w:ascii="宋体" w:hAnsi="宋体" w:eastAsia="宋体" w:cs="宋体"/>
                <w:color w:val="auto"/>
                <w:sz w:val="21"/>
                <w:szCs w:val="21"/>
                <w:highlight w:val="none"/>
              </w:rPr>
              <w:t>并应符合下列规定：</w:t>
            </w:r>
          </w:p>
          <w:p>
            <w:pPr>
              <w:keepNext w:val="0"/>
              <w:keepLines w:val="0"/>
              <w:pageBreakBefore w:val="0"/>
              <w:kinsoku/>
              <w:wordWrap/>
              <w:overflowPunct/>
              <w:topLinePunct w:val="0"/>
              <w:autoSpaceDE/>
              <w:autoSpaceDN/>
              <w:bidi w:val="0"/>
              <w:spacing w:line="260" w:lineRule="atLeast"/>
              <w:ind w:left="0" w:firstLine="206"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1 防护层材料宜与管道防腐层兼容；</w:t>
            </w:r>
          </w:p>
          <w:p>
            <w:pPr>
              <w:keepNext w:val="0"/>
              <w:keepLines w:val="0"/>
              <w:pageBreakBefore w:val="0"/>
              <w:kinsoku/>
              <w:wordWrap/>
              <w:overflowPunct/>
              <w:topLinePunct w:val="0"/>
              <w:autoSpaceDE/>
              <w:autoSpaceDN/>
              <w:bidi w:val="0"/>
              <w:spacing w:line="260" w:lineRule="atLeast"/>
              <w:ind w:left="0" w:firstLine="208" w:firstLineChars="100"/>
              <w:jc w:val="left"/>
              <w:rPr>
                <w:rFonts w:hint="eastAsia" w:ascii="宋体" w:hAnsi="宋体" w:eastAsia="宋体" w:cs="宋体"/>
                <w:color w:val="auto"/>
                <w:spacing w:val="-3"/>
                <w:sz w:val="21"/>
                <w:szCs w:val="21"/>
                <w:highlight w:val="none"/>
              </w:rPr>
            </w:pPr>
            <w:r>
              <w:rPr>
                <w:rFonts w:hint="eastAsia" w:ascii="宋体" w:hAnsi="宋体" w:eastAsia="宋体" w:cs="宋体"/>
                <w:color w:val="auto"/>
                <w:spacing w:val="-1"/>
                <w:sz w:val="21"/>
                <w:szCs w:val="21"/>
                <w:highlight w:val="none"/>
              </w:rPr>
              <w:t>2 当防腐层为三层聚烯烃类材料时，</w:t>
            </w:r>
            <w:r>
              <w:rPr>
                <w:rFonts w:hint="eastAsia" w:ascii="宋体" w:hAnsi="宋体" w:eastAsia="宋体" w:cs="宋体"/>
                <w:color w:val="auto"/>
                <w:spacing w:val="-3"/>
                <w:sz w:val="21"/>
                <w:szCs w:val="21"/>
                <w:highlight w:val="none"/>
              </w:rPr>
              <w:t>防护层宜采用改性环氧玻璃钢或玻璃纤维增强类材料；</w:t>
            </w:r>
          </w:p>
          <w:p>
            <w:pPr>
              <w:keepNext w:val="0"/>
              <w:keepLines w:val="0"/>
              <w:pageBreakBefore w:val="0"/>
              <w:kinsoku/>
              <w:wordWrap/>
              <w:overflowPunct/>
              <w:topLinePunct w:val="0"/>
              <w:autoSpaceDE/>
              <w:autoSpaceDN/>
              <w:bidi w:val="0"/>
              <w:spacing w:line="260" w:lineRule="atLeast"/>
              <w:ind w:left="0" w:firstLine="204"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3 当防腐层为环氧粉末材料时，防护层宜采用改性耐磨环氧类涂料。</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5.1.8 穿越段聚乙烯燃气管道的施工应符合下列规定：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1 聚乙烯燃气管道连接前应对管材按设计要求进行核对，并应在施工现场进行外观检查，管材表面划伤深度不应超过管材壁厚的5%；</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5.3.4 水平定向钻机的选用应根据计算的最大回拖力确定，钻机最大回拖力不宜小于计算值的2倍。管道水平定向钻回拖时的拉力应符合下列规定：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1 钢质管道水平定向钻回拖时的拉力应符合现行国家标准《油气输送管道穿越工程施工规范</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 xml:space="preserve">GB50424的有关规定。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2 PE燃气管道水平定向钻回拖时的允许拖拉力按下式计算： </w:t>
            </w:r>
          </w:p>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sz w:val="21"/>
                <w:szCs w:val="21"/>
                <w:highlight w:val="none"/>
              </w:rPr>
              <w:drawing>
                <wp:inline distT="0" distB="0" distL="114300" distR="114300">
                  <wp:extent cx="3670935" cy="820420"/>
                  <wp:effectExtent l="0" t="0" r="12065" b="5080"/>
                  <wp:docPr id="2" name="图片 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6" descr="IMG_256"/>
                          <pic:cNvPicPr>
                            <a:picLocks noChangeAspect="1"/>
                          </pic:cNvPicPr>
                        </pic:nvPicPr>
                        <pic:blipFill>
                          <a:blip r:embed="rId15"/>
                          <a:stretch>
                            <a:fillRect/>
                          </a:stretch>
                        </pic:blipFill>
                        <pic:spPr>
                          <a:xfrm>
                            <a:off x="0" y="0"/>
                            <a:ext cx="3670935" cy="820420"/>
                          </a:xfrm>
                          <a:prstGeom prst="rect">
                            <a:avLst/>
                          </a:prstGeom>
                          <a:noFill/>
                          <a:ln w="9525">
                            <a:noFill/>
                          </a:ln>
                        </pic:spPr>
                      </pic:pic>
                    </a:graphicData>
                  </a:graphic>
                </wp:inline>
              </w:drawing>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5.3.6 钻进液应符合下列规定：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1 应根据工程地质勘察报告确定钻进液的配置参数；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2 钻进液的粘度应根据地质和管径情况确定，可采用马氏漏斗测量；</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3 配置钻进液用的</w:t>
            </w:r>
            <w:r>
              <w:rPr>
                <w:rFonts w:hint="eastAsia" w:ascii="宋体" w:hAnsi="宋体" w:eastAsia="宋体" w:cs="宋体"/>
                <w:color w:val="auto"/>
                <w:kern w:val="0"/>
                <w:sz w:val="21"/>
                <w:szCs w:val="21"/>
                <w:highlight w:val="none"/>
                <w:lang w:eastAsia="zh-CN" w:bidi="ar"/>
              </w:rPr>
              <w:t>膨润土</w:t>
            </w:r>
            <w:r>
              <w:rPr>
                <w:rFonts w:hint="eastAsia" w:ascii="宋体" w:hAnsi="宋体" w:eastAsia="宋体" w:cs="宋体"/>
                <w:color w:val="auto"/>
                <w:kern w:val="0"/>
                <w:sz w:val="21"/>
                <w:szCs w:val="21"/>
                <w:highlight w:val="none"/>
                <w:lang w:bidi="ar"/>
              </w:rPr>
              <w:t>含砂量应小于3%</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水源应使用清洁淡水，钻进液pH值应调配至8~10；</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4 应按规定的顺序进行配置，并应使其充分膨化。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5.3.7 导向孔钻进应符合下列规定：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1 导向孔应根据设计曲线钻进，每根钻杆的折角应根据管径大小和管道的最小允许弯曲半径确定；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2 钻进导向孔时，每根钻杆的测量不得少于1次，当发现定向钻偏离设计轨迹时，应及时进行纠偏。纠偏应渐进进行，不得在一根钻杆的长度内完成所有的纠偏；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3 导向孔允许偏差应符合表5.3.7的规定，且偏差不应大于穿越长度的1% 。</w:t>
            </w:r>
          </w:p>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eastAsia="zh-CN" w:bidi="ar"/>
              </w:rPr>
            </w:pPr>
            <w:r>
              <w:rPr>
                <w:rFonts w:hint="eastAsia" w:ascii="宋体" w:hAnsi="宋体" w:eastAsia="宋体" w:cs="宋体"/>
                <w:color w:val="auto"/>
                <w:kern w:val="0"/>
                <w:sz w:val="21"/>
                <w:szCs w:val="21"/>
                <w:highlight w:val="none"/>
                <w:lang w:bidi="ar"/>
              </w:rPr>
              <w:t>表5.3.7 导向孔允许偏差</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m</w:t>
            </w:r>
            <w:r>
              <w:rPr>
                <w:rFonts w:hint="eastAsia" w:ascii="宋体" w:hAnsi="宋体" w:eastAsia="宋体" w:cs="宋体"/>
                <w:color w:val="auto"/>
                <w:kern w:val="0"/>
                <w:sz w:val="21"/>
                <w:szCs w:val="21"/>
                <w:highlight w:val="none"/>
                <w:lang w:eastAsia="zh-CN" w:bidi="ar"/>
              </w:rPr>
              <w:t>）</w:t>
            </w:r>
          </w:p>
          <w:tbl>
            <w:tblPr>
              <w:tblStyle w:val="121"/>
              <w:tblW w:w="4999"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2368"/>
              <w:gridCol w:w="2048"/>
              <w:gridCol w:w="2069"/>
              <w:gridCol w:w="2048"/>
              <w:gridCol w:w="229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8" w:hRule="atLeast"/>
                <w:jc w:val="center"/>
              </w:trPr>
              <w:tc>
                <w:tcPr>
                  <w:tcW w:w="1093" w:type="pct"/>
                  <w:vMerge w:val="restart"/>
                  <w:tcBorders>
                    <w:top w:val="single" w:color="000000" w:sz="2" w:space="0"/>
                    <w:bottom w:val="nil"/>
                  </w:tcBorders>
                </w:tcPr>
                <w:p>
                  <w:pPr>
                    <w:keepNext w:val="0"/>
                    <w:keepLines w:val="0"/>
                    <w:pageBreakBefore w:val="0"/>
                    <w:kinsoku/>
                    <w:wordWrap/>
                    <w:overflowPunct/>
                    <w:topLinePunct w:val="0"/>
                    <w:autoSpaceDE/>
                    <w:autoSpaceDN/>
                    <w:bidi w:val="0"/>
                    <w:spacing w:line="260" w:lineRule="atLeast"/>
                    <w:ind w:left="0" w:firstLine="454"/>
                    <w:jc w:val="left"/>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管材</w:t>
                  </w:r>
                </w:p>
              </w:tc>
              <w:tc>
                <w:tcPr>
                  <w:tcW w:w="1900" w:type="pct"/>
                  <w:gridSpan w:val="2"/>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662"/>
                    <w:jc w:val="left"/>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导向孔曲线</w:t>
                  </w:r>
                </w:p>
              </w:tc>
              <w:tc>
                <w:tcPr>
                  <w:tcW w:w="2006" w:type="pct"/>
                  <w:gridSpan w:val="2"/>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906"/>
                    <w:jc w:val="left"/>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出土点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04" w:hRule="atLeast"/>
                <w:jc w:val="center"/>
              </w:trPr>
              <w:tc>
                <w:tcPr>
                  <w:tcW w:w="1093" w:type="pct"/>
                  <w:vMerge w:val="continue"/>
                  <w:tcBorders>
                    <w:top w:val="nil"/>
                    <w:bottom w:val="single" w:color="000000" w:sz="2" w:space="0"/>
                  </w:tcBorders>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945"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192"/>
                    <w:jc w:val="left"/>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横向偏差</w:t>
                  </w:r>
                </w:p>
              </w:tc>
              <w:tc>
                <w:tcPr>
                  <w:tcW w:w="954"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194"/>
                    <w:jc w:val="left"/>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上下偏差</w:t>
                  </w:r>
                </w:p>
              </w:tc>
              <w:tc>
                <w:tcPr>
                  <w:tcW w:w="945"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196"/>
                    <w:jc w:val="left"/>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横向偏差</w:t>
                  </w:r>
                </w:p>
              </w:tc>
              <w:tc>
                <w:tcPr>
                  <w:tcW w:w="1060"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258"/>
                    <w:jc w:val="left"/>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纵向偏差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jc w:val="center"/>
              </w:trPr>
              <w:tc>
                <w:tcPr>
                  <w:tcW w:w="1093"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454"/>
                    <w:jc w:val="left"/>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钢管</w:t>
                  </w:r>
                </w:p>
              </w:tc>
              <w:tc>
                <w:tcPr>
                  <w:tcW w:w="945"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412"/>
                    <w:jc w:val="left"/>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士2</w:t>
                  </w:r>
                </w:p>
              </w:tc>
              <w:tc>
                <w:tcPr>
                  <w:tcW w:w="954"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334"/>
                    <w:jc w:val="left"/>
                    <w:rPr>
                      <w:rFonts w:hint="eastAsia" w:ascii="宋体" w:hAnsi="宋体" w:eastAsia="宋体" w:cs="宋体"/>
                      <w:color w:val="auto"/>
                      <w:sz w:val="21"/>
                      <w:szCs w:val="21"/>
                      <w:highlight w:val="none"/>
                    </w:rPr>
                  </w:pPr>
                  <w:r>
                    <w:rPr>
                      <w:rFonts w:hint="eastAsia" w:ascii="宋体" w:hAnsi="宋体" w:eastAsia="宋体" w:cs="宋体"/>
                      <w:color w:val="auto"/>
                      <w:spacing w:val="-1"/>
                      <w:sz w:val="21"/>
                      <w:szCs w:val="21"/>
                      <w:highlight w:val="none"/>
                    </w:rPr>
                    <w:t>+1</w:t>
                  </w:r>
                  <w:r>
                    <w:rPr>
                      <w:rFonts w:hint="eastAsia" w:ascii="宋体" w:hAnsi="宋体" w:eastAsia="宋体" w:cs="宋体"/>
                      <w:color w:val="auto"/>
                      <w:spacing w:val="-2"/>
                      <w:sz w:val="21"/>
                      <w:szCs w:val="21"/>
                      <w:highlight w:val="none"/>
                    </w:rPr>
                    <w:t>～</w:t>
                  </w:r>
                  <w:r>
                    <w:rPr>
                      <w:rFonts w:hint="eastAsia" w:ascii="宋体" w:hAnsi="宋体" w:eastAsia="宋体" w:cs="宋体"/>
                      <w:color w:val="auto"/>
                      <w:spacing w:val="-1"/>
                      <w:sz w:val="21"/>
                      <w:szCs w:val="21"/>
                      <w:highlight w:val="none"/>
                    </w:rPr>
                    <w:t>-2</w:t>
                  </w:r>
                </w:p>
              </w:tc>
              <w:tc>
                <w:tcPr>
                  <w:tcW w:w="945"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416"/>
                    <w:jc w:val="left"/>
                    <w:rPr>
                      <w:rFonts w:hint="eastAsia" w:ascii="宋体" w:hAnsi="宋体" w:eastAsia="宋体" w:cs="宋体"/>
                      <w:color w:val="auto"/>
                      <w:sz w:val="21"/>
                      <w:szCs w:val="21"/>
                      <w:highlight w:val="none"/>
                    </w:rPr>
                  </w:pPr>
                  <w:r>
                    <w:rPr>
                      <w:rFonts w:hint="eastAsia" w:ascii="宋体" w:hAnsi="宋体" w:eastAsia="宋体" w:cs="宋体"/>
                      <w:color w:val="auto"/>
                      <w:spacing w:val="5"/>
                      <w:sz w:val="21"/>
                      <w:szCs w:val="21"/>
                      <w:highlight w:val="none"/>
                    </w:rPr>
                    <w:t>士2</w:t>
                  </w:r>
                </w:p>
              </w:tc>
              <w:tc>
                <w:tcPr>
                  <w:tcW w:w="1060"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348"/>
                    <w:jc w:val="left"/>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十5</w:t>
                  </w:r>
                  <w:r>
                    <w:rPr>
                      <w:rFonts w:hint="eastAsia" w:ascii="宋体" w:hAnsi="宋体" w:eastAsia="宋体" w:cs="宋体"/>
                      <w:color w:val="auto"/>
                      <w:spacing w:val="-2"/>
                      <w:sz w:val="21"/>
                      <w:szCs w:val="21"/>
                      <w:highlight w:val="none"/>
                    </w:rPr>
                    <w:t>～</w:t>
                  </w:r>
                  <w:r>
                    <w:rPr>
                      <w:rFonts w:hint="eastAsia" w:ascii="宋体" w:hAnsi="宋体" w:eastAsia="宋体" w:cs="宋体"/>
                      <w:color w:val="auto"/>
                      <w:spacing w:val="-2"/>
                      <w:sz w:val="21"/>
                      <w:szCs w:val="21"/>
                      <w:highlight w:val="none"/>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jc w:val="center"/>
              </w:trPr>
              <w:tc>
                <w:tcPr>
                  <w:tcW w:w="1093"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454"/>
                    <w:jc w:val="left"/>
                    <w:rPr>
                      <w:rFonts w:hint="eastAsia" w:ascii="宋体" w:hAnsi="宋体" w:eastAsia="宋体" w:cs="宋体"/>
                      <w:color w:val="auto"/>
                      <w:sz w:val="21"/>
                      <w:szCs w:val="21"/>
                      <w:highlight w:val="none"/>
                    </w:rPr>
                  </w:pPr>
                  <w:r>
                    <w:rPr>
                      <w:rFonts w:hint="eastAsia" w:ascii="宋体" w:hAnsi="宋体" w:eastAsia="宋体" w:cs="宋体"/>
                      <w:color w:val="auto"/>
                      <w:spacing w:val="-1"/>
                      <w:sz w:val="21"/>
                      <w:szCs w:val="21"/>
                      <w:highlight w:val="none"/>
                    </w:rPr>
                    <w:t>PE管</w:t>
                  </w:r>
                </w:p>
              </w:tc>
              <w:tc>
                <w:tcPr>
                  <w:tcW w:w="945"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412"/>
                    <w:jc w:val="left"/>
                    <w:rPr>
                      <w:rFonts w:hint="eastAsia" w:ascii="宋体" w:hAnsi="宋体" w:eastAsia="宋体" w:cs="宋体"/>
                      <w:color w:val="auto"/>
                      <w:sz w:val="21"/>
                      <w:szCs w:val="21"/>
                      <w:highlight w:val="none"/>
                    </w:rPr>
                  </w:pPr>
                  <w:r>
                    <w:rPr>
                      <w:rFonts w:hint="eastAsia" w:ascii="宋体" w:hAnsi="宋体" w:eastAsia="宋体" w:cs="宋体"/>
                      <w:color w:val="auto"/>
                      <w:spacing w:val="9"/>
                      <w:sz w:val="21"/>
                      <w:szCs w:val="21"/>
                      <w:highlight w:val="none"/>
                    </w:rPr>
                    <w:t>士1</w:t>
                  </w:r>
                </w:p>
              </w:tc>
              <w:tc>
                <w:tcPr>
                  <w:tcW w:w="954"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284"/>
                    <w:jc w:val="left"/>
                    <w:rPr>
                      <w:rFonts w:hint="eastAsia" w:ascii="宋体" w:hAnsi="宋体" w:eastAsia="宋体" w:cs="宋体"/>
                      <w:color w:val="auto"/>
                      <w:sz w:val="21"/>
                      <w:szCs w:val="21"/>
                      <w:highlight w:val="none"/>
                    </w:rPr>
                  </w:pPr>
                  <w:r>
                    <w:rPr>
                      <w:rFonts w:hint="eastAsia" w:ascii="宋体" w:hAnsi="宋体" w:eastAsia="宋体" w:cs="宋体"/>
                      <w:color w:val="auto"/>
                      <w:spacing w:val="-1"/>
                      <w:sz w:val="21"/>
                      <w:szCs w:val="21"/>
                      <w:highlight w:val="none"/>
                    </w:rPr>
                    <w:t>十1</w:t>
                  </w:r>
                  <w:r>
                    <w:rPr>
                      <w:rFonts w:hint="eastAsia" w:ascii="宋体" w:hAnsi="宋体" w:eastAsia="宋体" w:cs="宋体"/>
                      <w:color w:val="auto"/>
                      <w:spacing w:val="-2"/>
                      <w:sz w:val="21"/>
                      <w:szCs w:val="21"/>
                      <w:highlight w:val="none"/>
                    </w:rPr>
                    <w:t>～</w:t>
                  </w:r>
                  <w:r>
                    <w:rPr>
                      <w:rFonts w:hint="eastAsia" w:ascii="宋体" w:hAnsi="宋体" w:eastAsia="宋体" w:cs="宋体"/>
                      <w:color w:val="auto"/>
                      <w:spacing w:val="-1"/>
                      <w:sz w:val="21"/>
                      <w:szCs w:val="21"/>
                      <w:highlight w:val="none"/>
                    </w:rPr>
                    <w:t>-1</w:t>
                  </w:r>
                </w:p>
              </w:tc>
              <w:tc>
                <w:tcPr>
                  <w:tcW w:w="945"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326"/>
                    <w:jc w:val="left"/>
                    <w:rPr>
                      <w:rFonts w:hint="eastAsia"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rPr>
                    <w:t>士0.5</w:t>
                  </w:r>
                </w:p>
              </w:tc>
              <w:tc>
                <w:tcPr>
                  <w:tcW w:w="1060"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398"/>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pacing w:val="-2"/>
                      <w:sz w:val="21"/>
                      <w:szCs w:val="21"/>
                      <w:highlight w:val="none"/>
                    </w:rPr>
                    <w:t>～</w:t>
                  </w:r>
                  <w:r>
                    <w:rPr>
                      <w:rFonts w:hint="eastAsia" w:ascii="宋体" w:hAnsi="宋体" w:eastAsia="宋体" w:cs="宋体"/>
                      <w:color w:val="auto"/>
                      <w:sz w:val="21"/>
                      <w:szCs w:val="21"/>
                      <w:highlight w:val="none"/>
                    </w:rPr>
                    <w:t>-1</w:t>
                  </w:r>
                </w:p>
              </w:tc>
            </w:tr>
          </w:tbl>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5.3.8 扩孔应符合下列规定：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1 最终扩孔直径应根据穿越管道的直径、长度、穿越地质条件和钻机能力确定，最小扩孔直径可按</w:t>
            </w:r>
            <w:r>
              <w:rPr>
                <w:rFonts w:hint="eastAsia" w:ascii="宋体" w:hAnsi="宋体" w:eastAsia="宋体" w:cs="宋体"/>
                <w:color w:val="auto"/>
                <w:kern w:val="0"/>
                <w:sz w:val="21"/>
                <w:szCs w:val="21"/>
                <w:highlight w:val="none"/>
                <w:lang w:eastAsia="zh-CN" w:bidi="ar"/>
              </w:rPr>
              <w:t>表</w:t>
            </w:r>
            <w:r>
              <w:rPr>
                <w:rFonts w:hint="eastAsia" w:ascii="宋体" w:hAnsi="宋体" w:eastAsia="宋体" w:cs="宋体"/>
                <w:color w:val="auto"/>
                <w:kern w:val="0"/>
                <w:sz w:val="21"/>
                <w:szCs w:val="21"/>
                <w:highlight w:val="none"/>
                <w:lang w:bidi="ar"/>
              </w:rPr>
              <w:t>5.3.8</w:t>
            </w:r>
            <w:r>
              <w:rPr>
                <w:rFonts w:hint="eastAsia" w:ascii="宋体" w:hAnsi="宋体" w:eastAsia="宋体" w:cs="宋体"/>
                <w:color w:val="auto"/>
                <w:kern w:val="0"/>
                <w:sz w:val="21"/>
                <w:szCs w:val="21"/>
                <w:highlight w:val="none"/>
                <w:lang w:eastAsia="zh-CN" w:bidi="ar"/>
              </w:rPr>
              <w:t>的</w:t>
            </w:r>
            <w:r>
              <w:rPr>
                <w:rFonts w:hint="eastAsia" w:ascii="宋体" w:hAnsi="宋体" w:eastAsia="宋体" w:cs="宋体"/>
                <w:color w:val="auto"/>
                <w:kern w:val="0"/>
                <w:sz w:val="21"/>
                <w:szCs w:val="21"/>
                <w:highlight w:val="none"/>
                <w:lang w:bidi="ar"/>
              </w:rPr>
              <w:t xml:space="preserve">规定执行。 </w:t>
            </w:r>
          </w:p>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表5.3.8 最小扩孔直径</w:t>
            </w:r>
          </w:p>
          <w:tbl>
            <w:tblPr>
              <w:tblStyle w:val="121"/>
              <w:tblW w:w="4999"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5306"/>
              <w:gridCol w:w="55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jc w:val="center"/>
              </w:trPr>
              <w:tc>
                <w:tcPr>
                  <w:tcW w:w="2449"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534"/>
                    <w:jc w:val="left"/>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穿越管道的直径DN(mm)</w:t>
                  </w:r>
                </w:p>
              </w:tc>
              <w:tc>
                <w:tcPr>
                  <w:tcW w:w="2550"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774"/>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pacing w:val="3"/>
                      <w:sz w:val="21"/>
                      <w:szCs w:val="21"/>
                      <w:highlight w:val="none"/>
                    </w:rPr>
                    <w:t>最小扩孔直径</w:t>
                  </w:r>
                  <w:r>
                    <w:rPr>
                      <w:rFonts w:hint="eastAsia" w:ascii="宋体" w:hAnsi="宋体" w:eastAsia="宋体" w:cs="宋体"/>
                      <w:color w:val="auto"/>
                      <w:spacing w:val="3"/>
                      <w:sz w:val="21"/>
                      <w:szCs w:val="21"/>
                      <w:highlight w:val="none"/>
                      <w:lang w:eastAsia="zh-CN"/>
                    </w:rPr>
                    <w:t>（</w:t>
                  </w:r>
                  <w:r>
                    <w:rPr>
                      <w:rFonts w:hint="eastAsia" w:ascii="宋体" w:hAnsi="宋体" w:eastAsia="宋体" w:cs="宋体"/>
                      <w:color w:val="auto"/>
                      <w:spacing w:val="3"/>
                      <w:sz w:val="21"/>
                      <w:szCs w:val="21"/>
                      <w:highlight w:val="none"/>
                    </w:rPr>
                    <w:t>mm</w:t>
                  </w:r>
                  <w:r>
                    <w:rPr>
                      <w:rFonts w:hint="eastAsia" w:ascii="宋体" w:hAnsi="宋体" w:eastAsia="宋体" w:cs="宋体"/>
                      <w:color w:val="auto"/>
                      <w:spacing w:val="3"/>
                      <w:sz w:val="21"/>
                      <w:szCs w:val="21"/>
                      <w:highlight w:val="none"/>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4" w:hRule="atLeast"/>
                <w:jc w:val="center"/>
              </w:trPr>
              <w:tc>
                <w:tcPr>
                  <w:tcW w:w="2449"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1254"/>
                    <w:jc w:val="left"/>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&lt;200</w:t>
                  </w:r>
                </w:p>
              </w:tc>
              <w:tc>
                <w:tcPr>
                  <w:tcW w:w="2550"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1184"/>
                    <w:jc w:val="left"/>
                    <w:rPr>
                      <w:rFonts w:hint="eastAsia" w:ascii="宋体" w:hAnsi="宋体" w:eastAsia="宋体" w:cs="宋体"/>
                      <w:color w:val="auto"/>
                      <w:sz w:val="21"/>
                      <w:szCs w:val="21"/>
                      <w:highlight w:val="none"/>
                    </w:rPr>
                  </w:pPr>
                  <w:r>
                    <w:rPr>
                      <w:rFonts w:hint="eastAsia" w:ascii="宋体" w:hAnsi="宋体" w:eastAsia="宋体" w:cs="宋体"/>
                      <w:color w:val="auto"/>
                      <w:spacing w:val="-1"/>
                      <w:sz w:val="21"/>
                      <w:szCs w:val="21"/>
                      <w:highlight w:val="none"/>
                    </w:rPr>
                    <w:t>DN士100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8" w:hRule="atLeast"/>
                <w:jc w:val="center"/>
              </w:trPr>
              <w:tc>
                <w:tcPr>
                  <w:tcW w:w="2449"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1124"/>
                    <w:jc w:val="left"/>
                    <w:rPr>
                      <w:rFonts w:hint="eastAsia" w:ascii="宋体" w:hAnsi="宋体" w:eastAsia="宋体" w:cs="宋体"/>
                      <w:color w:val="auto"/>
                      <w:sz w:val="21"/>
                      <w:szCs w:val="21"/>
                      <w:highlight w:val="none"/>
                    </w:rPr>
                  </w:pPr>
                  <w:r>
                    <w:rPr>
                      <w:rFonts w:hint="eastAsia" w:ascii="宋体" w:hAnsi="宋体" w:eastAsia="宋体" w:cs="宋体"/>
                      <w:color w:val="auto"/>
                      <w:spacing w:val="-1"/>
                      <w:sz w:val="21"/>
                      <w:szCs w:val="21"/>
                      <w:highlight w:val="none"/>
                    </w:rPr>
                    <w:t>200～600</w:t>
                  </w:r>
                </w:p>
              </w:tc>
              <w:tc>
                <w:tcPr>
                  <w:tcW w:w="2550"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1274"/>
                    <w:jc w:val="left"/>
                    <w:rPr>
                      <w:rFonts w:hint="eastAsia" w:ascii="宋体" w:hAnsi="宋体" w:eastAsia="宋体" w:cs="宋体"/>
                      <w:color w:val="auto"/>
                      <w:sz w:val="21"/>
                      <w:szCs w:val="21"/>
                      <w:highlight w:val="none"/>
                    </w:rPr>
                  </w:pPr>
                  <w:r>
                    <w:rPr>
                      <w:rFonts w:hint="eastAsia" w:ascii="宋体" w:hAnsi="宋体" w:eastAsia="宋体" w:cs="宋体"/>
                      <w:color w:val="auto"/>
                      <w:spacing w:val="-4"/>
                      <w:sz w:val="21"/>
                      <w:szCs w:val="21"/>
                      <w:highlight w:val="none"/>
                    </w:rPr>
                    <w:t>1.5DN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jc w:val="center"/>
              </w:trPr>
              <w:tc>
                <w:tcPr>
                  <w:tcW w:w="2449"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1254"/>
                    <w:jc w:val="left"/>
                    <w:rPr>
                      <w:rFonts w:hint="eastAsia"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rPr>
                    <w:t>&gt;600</w:t>
                  </w:r>
                </w:p>
              </w:tc>
              <w:tc>
                <w:tcPr>
                  <w:tcW w:w="2550" w:type="pct"/>
                  <w:tcBorders>
                    <w:top w:val="single" w:color="000000" w:sz="2" w:space="0"/>
                    <w:bottom w:val="single" w:color="000000" w:sz="2" w:space="0"/>
                  </w:tcBorders>
                </w:tcPr>
                <w:p>
                  <w:pPr>
                    <w:keepNext w:val="0"/>
                    <w:keepLines w:val="0"/>
                    <w:pageBreakBefore w:val="0"/>
                    <w:kinsoku/>
                    <w:wordWrap/>
                    <w:overflowPunct/>
                    <w:topLinePunct w:val="0"/>
                    <w:autoSpaceDE/>
                    <w:autoSpaceDN/>
                    <w:bidi w:val="0"/>
                    <w:spacing w:line="260" w:lineRule="atLeast"/>
                    <w:ind w:left="0" w:firstLine="1224"/>
                    <w:jc w:val="left"/>
                    <w:rPr>
                      <w:rFonts w:hint="eastAsia" w:ascii="宋体" w:hAnsi="宋体" w:eastAsia="宋体" w:cs="宋体"/>
                      <w:color w:val="auto"/>
                      <w:sz w:val="21"/>
                      <w:szCs w:val="21"/>
                      <w:highlight w:val="none"/>
                    </w:rPr>
                  </w:pPr>
                  <w:r>
                    <w:rPr>
                      <w:rFonts w:hint="eastAsia" w:ascii="宋体" w:hAnsi="宋体" w:eastAsia="宋体" w:cs="宋体"/>
                      <w:color w:val="auto"/>
                      <w:spacing w:val="-1"/>
                      <w:sz w:val="21"/>
                      <w:szCs w:val="21"/>
                      <w:highlight w:val="none"/>
                    </w:rPr>
                    <w:t>DN+300</w:t>
                  </w:r>
                </w:p>
              </w:tc>
            </w:tr>
          </w:tbl>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5.3.9 定向钻穿越燃气管道的地面安装应符合下列规定：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1 穿越段管道应在平整且具有承载能力的场地进行预制；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2 预制管道应与</w:t>
            </w:r>
            <w:r>
              <w:rPr>
                <w:rFonts w:hint="eastAsia" w:ascii="宋体" w:hAnsi="宋体" w:eastAsia="宋体" w:cs="宋体"/>
                <w:color w:val="auto"/>
                <w:kern w:val="0"/>
                <w:sz w:val="21"/>
                <w:szCs w:val="21"/>
                <w:highlight w:val="none"/>
                <w:lang w:val="en-US" w:eastAsia="zh-CN" w:bidi="ar"/>
              </w:rPr>
              <w:t>入</w:t>
            </w:r>
            <w:r>
              <w:rPr>
                <w:rFonts w:hint="eastAsia" w:ascii="宋体" w:hAnsi="宋体" w:eastAsia="宋体" w:cs="宋体"/>
                <w:color w:val="auto"/>
                <w:kern w:val="0"/>
                <w:sz w:val="21"/>
                <w:szCs w:val="21"/>
                <w:highlight w:val="none"/>
                <w:lang w:bidi="ar"/>
              </w:rPr>
              <w:t xml:space="preserve">土点、出土点成一直线，当受现场条件限制时，预制管道可适当弯曲，并应符合本规程第4.3.10条的有关规定；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3 预制管道宜根据设计长度全线焊接，当场地局限时，也可分段焊接，在回拖过程中连接；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4 当采用热收缩带进行穿越段钢管焊口补口时，应采用定向钻专用热收缩带；</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5 在穿越管道回拖前，钢管应采用电火花检漏仪对防腐层进行检验；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6 聚乙烯燃气管道焊接应使用全自动焊机；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7 管道回拖前，应对焊接完成的管段进行水压试验；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8 聚乙烯燃气管道应对表面划痕进行检查。</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5.3.13 水平定向钻穿越燃气管道接头处的防腐层外宜设置保护套，防腐等级不应低于原管道，在管道穿越时，接头处的外防腐层不得被损坏。</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5.3.14 回拖作业应符合下列规定：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1 应采取避免损伤管道及外防腐层的有效措施。可采取发送沟蓄水漂管、发送架及吊机送管等方式，避免管道与地面直接接触。管道</w:t>
            </w:r>
            <w:r>
              <w:rPr>
                <w:rFonts w:hint="eastAsia" w:ascii="宋体" w:hAnsi="宋体" w:eastAsia="宋体" w:cs="宋体"/>
                <w:color w:val="auto"/>
                <w:kern w:val="0"/>
                <w:sz w:val="21"/>
                <w:szCs w:val="21"/>
                <w:highlight w:val="none"/>
                <w:lang w:eastAsia="zh-CN" w:bidi="ar"/>
              </w:rPr>
              <w:t>入洞口</w:t>
            </w:r>
            <w:r>
              <w:rPr>
                <w:rFonts w:hint="eastAsia" w:ascii="宋体" w:hAnsi="宋体" w:eastAsia="宋体" w:cs="宋体"/>
                <w:color w:val="auto"/>
                <w:kern w:val="0"/>
                <w:sz w:val="21"/>
                <w:szCs w:val="21"/>
                <w:highlight w:val="none"/>
                <w:lang w:bidi="ar"/>
              </w:rPr>
              <w:t xml:space="preserve">前与地面的接触处部位应进行润滑。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2 应实时记录回拖过程的回拖力、扭矩、回拖速度、钻进液流量等数据，并应附于竣工资料中。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3 宜对钢管的外防腐层进行电火花测试，对防腐层的损伤部位应及时修补。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5.3.15 出土点和</w:t>
            </w:r>
            <w:r>
              <w:rPr>
                <w:rFonts w:hint="eastAsia" w:ascii="宋体" w:hAnsi="宋体" w:eastAsia="宋体" w:cs="宋体"/>
                <w:color w:val="auto"/>
                <w:kern w:val="0"/>
                <w:sz w:val="21"/>
                <w:szCs w:val="21"/>
                <w:highlight w:val="none"/>
                <w:lang w:eastAsia="zh-CN" w:bidi="ar"/>
              </w:rPr>
              <w:t>入土</w:t>
            </w:r>
            <w:r>
              <w:rPr>
                <w:rFonts w:hint="eastAsia" w:ascii="宋体" w:hAnsi="宋体" w:eastAsia="宋体" w:cs="宋体"/>
                <w:color w:val="auto"/>
                <w:kern w:val="0"/>
                <w:sz w:val="21"/>
                <w:szCs w:val="21"/>
                <w:highlight w:val="none"/>
                <w:lang w:bidi="ar"/>
              </w:rPr>
              <w:t>点两端管道应各出地面lm</w:t>
            </w:r>
            <w:r>
              <w:rPr>
                <w:rFonts w:hint="eastAsia" w:ascii="宋体" w:hAnsi="宋体" w:eastAsia="宋体" w:cs="宋体"/>
                <w:color w:val="auto"/>
                <w:spacing w:val="-2"/>
                <w:sz w:val="21"/>
                <w:szCs w:val="21"/>
                <w:highlight w:val="none"/>
              </w:rPr>
              <w:t>～</w:t>
            </w:r>
            <w:r>
              <w:rPr>
                <w:rFonts w:hint="eastAsia" w:ascii="宋体" w:hAnsi="宋体" w:eastAsia="宋体" w:cs="宋体"/>
                <w:color w:val="auto"/>
                <w:kern w:val="0"/>
                <w:sz w:val="21"/>
                <w:szCs w:val="21"/>
                <w:highlight w:val="none"/>
                <w:lang w:bidi="ar"/>
              </w:rPr>
              <w:t>3m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5.3.16 穿越铁路、重要道路施工时，应进行地表沉降监测，并应做好记录。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5.3.17 回拖结束后，应将管道放置24h以上，待管道在穿越过程中的拉伸应力充分释放后，方可与两端管道进行连接。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3.2.5.3</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穿跨越管道敷设</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顶管穿越施工应符合设计文件和相关标准的要求。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《城镇燃气管道穿跨越工程技术规程》</w:t>
            </w:r>
            <w:r>
              <w:rPr>
                <w:rFonts w:hint="eastAsia" w:ascii="宋体" w:hAnsi="宋体" w:eastAsia="宋体" w:cs="宋体"/>
                <w:color w:val="auto"/>
                <w:sz w:val="21"/>
                <w:szCs w:val="21"/>
                <w:highlight w:val="none"/>
                <w:lang w:eastAsia="zh-CN"/>
              </w:rPr>
              <w:t>CJJ/T</w:t>
            </w:r>
            <w:r>
              <w:rPr>
                <w:rFonts w:hint="eastAsia" w:ascii="宋体" w:hAnsi="宋体" w:eastAsia="宋体" w:cs="宋体"/>
                <w:color w:val="auto"/>
                <w:sz w:val="21"/>
                <w:szCs w:val="21"/>
                <w:highlight w:val="none"/>
              </w:rPr>
              <w:t>250-2016</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4.4.6 顶进管道材料的选择应符合下列规定：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顶进管道应采用钢筋混凝土管或钢管，管道规格及接口形式应符合设计要求；曲线顶管宜采用钢筋混凝土管。</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4.4.7 顶进管道的接头应符合下列规定：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1 顶进管道的密封性能应满足设计文件要求。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2顶进管道的接头在最大允许偏斜的情况下应保持密封性能。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在剪切力</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剪切运动</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 xml:space="preserve">作用下，管道接头应保持密封性能。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4 当管道之间使用垫环传递轴向力时，垫环的宽度不宜大于管壁厚度。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当采用钢筋混凝土管时，宜采用钢承口的管道接口形式</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F形管接口形式</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。当曲线顶管采用钢筋</w:t>
            </w:r>
            <w:r>
              <w:rPr>
                <w:rFonts w:hint="eastAsia" w:ascii="宋体" w:hAnsi="宋体" w:eastAsia="宋体" w:cs="宋体"/>
                <w:color w:val="auto"/>
                <w:sz w:val="21"/>
                <w:szCs w:val="21"/>
                <w:highlight w:val="none"/>
                <w:lang w:eastAsia="zh-CN"/>
              </w:rPr>
              <w:t>混凝土</w:t>
            </w:r>
            <w:r>
              <w:rPr>
                <w:rFonts w:hint="eastAsia" w:ascii="宋体" w:hAnsi="宋体" w:eastAsia="宋体" w:cs="宋体"/>
                <w:color w:val="auto"/>
                <w:sz w:val="21"/>
                <w:szCs w:val="21"/>
                <w:highlight w:val="none"/>
              </w:rPr>
              <w:t xml:space="preserve">管时，应加长钢套环的长度，木垫衬应采用松木。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 当采用钢管时，应采用焊接连接。焊口处应进行等级不低于燃气管道补口的防腐处理。</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4.4.10 顶管工作井的后坐墙应具有足够的强度和刚度，在设计顶进力的作用下不得被破坏，并应符合下列规定：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1 后坐墙表面应平整，并应与管道顶进方向垂直。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2 后坐墙材料的材质应均匀一致。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3 当采用装配式后坐墙时，尚应符合下列规定： </w:t>
            </w:r>
          </w:p>
          <w:p>
            <w:pPr>
              <w:keepNext w:val="0"/>
              <w:keepLines w:val="0"/>
              <w:pageBreakBefore w:val="0"/>
              <w:widowControl/>
              <w:numPr>
                <w:ilvl w:val="0"/>
                <w:numId w:val="10"/>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装配式后坐墙宜采用方木、型钢或钢板等组装； </w:t>
            </w:r>
          </w:p>
          <w:p>
            <w:pPr>
              <w:keepNext w:val="0"/>
              <w:keepLines w:val="0"/>
              <w:pageBreakBefore w:val="0"/>
              <w:widowControl/>
              <w:numPr>
                <w:ilvl w:val="0"/>
                <w:numId w:val="10"/>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装配式后坐墙的底端宜在工作井底以下，且最小覆土厚度不宜小</w:t>
            </w:r>
            <w:r>
              <w:rPr>
                <w:rFonts w:hint="eastAsia" w:ascii="宋体" w:hAnsi="宋体" w:eastAsia="宋体" w:cs="宋体"/>
                <w:color w:val="auto"/>
                <w:sz w:val="21"/>
                <w:szCs w:val="21"/>
                <w:highlight w:val="none"/>
                <w:lang w:eastAsia="zh-CN"/>
              </w:rPr>
              <w:t>于</w:t>
            </w:r>
            <w:r>
              <w:rPr>
                <w:rFonts w:hint="eastAsia" w:ascii="宋体" w:hAnsi="宋体" w:eastAsia="宋体" w:cs="宋体"/>
                <w:color w:val="auto"/>
                <w:sz w:val="21"/>
                <w:szCs w:val="21"/>
                <w:highlight w:val="none"/>
              </w:rPr>
              <w:t xml:space="preserve">O.5m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当无原状</w:t>
            </w:r>
            <w:r>
              <w:rPr>
                <w:rFonts w:hint="eastAsia" w:ascii="宋体" w:hAnsi="宋体" w:eastAsia="宋体" w:cs="宋体"/>
                <w:color w:val="auto"/>
                <w:sz w:val="21"/>
                <w:szCs w:val="21"/>
                <w:highlight w:val="none"/>
                <w:lang w:eastAsia="zh-CN"/>
              </w:rPr>
              <w:t>土作</w:t>
            </w:r>
            <w:r>
              <w:rPr>
                <w:rFonts w:hint="eastAsia" w:ascii="宋体" w:hAnsi="宋体" w:eastAsia="宋体" w:cs="宋体"/>
                <w:color w:val="auto"/>
                <w:sz w:val="21"/>
                <w:szCs w:val="21"/>
                <w:highlight w:val="none"/>
              </w:rPr>
              <w:t xml:space="preserve">后坐墙时，可采用人工后坐墙。人工后坐墙应结构简单、稳定可靠，且宜就地取材。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当利用</w:t>
            </w:r>
            <w:r>
              <w:rPr>
                <w:rFonts w:hint="eastAsia" w:ascii="宋体" w:hAnsi="宋体" w:eastAsia="宋体" w:cs="宋体"/>
                <w:color w:val="auto"/>
                <w:sz w:val="21"/>
                <w:szCs w:val="21"/>
                <w:highlight w:val="none"/>
                <w:lang w:eastAsia="zh-CN"/>
              </w:rPr>
              <w:t>已</w:t>
            </w:r>
            <w:r>
              <w:rPr>
                <w:rFonts w:hint="eastAsia" w:ascii="宋体" w:hAnsi="宋体" w:eastAsia="宋体" w:cs="宋体"/>
                <w:color w:val="auto"/>
                <w:sz w:val="21"/>
                <w:szCs w:val="21"/>
                <w:highlight w:val="none"/>
              </w:rPr>
              <w:t xml:space="preserve">顶进完毕的管道作后坐墙时，待顶管道的顶进力应小于已顶管道的顶进力。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 后坐墙后背土的压缩残余变形值不应大于20mm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4.4.11 顶管法穿越的燃气管道应在顶进套管内安装绝缘支撑架，顶进套管和内穿燃气管道之间应设检漏管。套管两端应采用柔性的防腐、防水材料将顶进套管和燃气管道的间隙密封，密封长度应大于200mm 。</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4.4.12 当顶进套管对内穿燃气管道的阴极保护产生屏蔽作用时，燃气管道的阴极保护方式宜采用牺牲阳极。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5.1.7 套管内的钢质燃气管道安装后，外部径向载荷不应传递到穿越段燃气管道上。管道的安装应符合下列规定：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套管内的穿越段燃气管道的绝缘支撑架应安装牢固，绝缘垫位置应正确，燃气管道不得与套管接触。</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钢质燃气管道穿入套管前，应按设计要求安装牺牲阳极，绝缘支撑架不得与阳极相连。安装后，应测量管道电位，并应达到保护电位要求。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3 套管内不得有污物。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穿越管段应在防腐层检漏合格后方可</w:t>
            </w:r>
            <w:r>
              <w:rPr>
                <w:rFonts w:hint="eastAsia" w:ascii="宋体" w:hAnsi="宋体" w:eastAsia="宋体" w:cs="宋体"/>
                <w:color w:val="auto"/>
                <w:sz w:val="21"/>
                <w:szCs w:val="21"/>
                <w:highlight w:val="none"/>
                <w:lang w:eastAsia="zh-CN"/>
              </w:rPr>
              <w:t>穿入</w:t>
            </w:r>
            <w:r>
              <w:rPr>
                <w:rFonts w:hint="eastAsia" w:ascii="宋体" w:hAnsi="宋体" w:eastAsia="宋体" w:cs="宋体"/>
                <w:color w:val="auto"/>
                <w:sz w:val="21"/>
                <w:szCs w:val="21"/>
                <w:highlight w:val="none"/>
              </w:rPr>
              <w:t>套管。</w:t>
            </w:r>
            <w:r>
              <w:rPr>
                <w:rFonts w:hint="eastAsia" w:ascii="宋体" w:hAnsi="宋体" w:eastAsia="宋体" w:cs="宋体"/>
                <w:color w:val="auto"/>
                <w:sz w:val="21"/>
                <w:szCs w:val="21"/>
                <w:highlight w:val="none"/>
                <w:lang w:eastAsia="zh-CN"/>
              </w:rPr>
              <w:t>穿入</w:t>
            </w:r>
            <w:r>
              <w:rPr>
                <w:rFonts w:hint="eastAsia" w:ascii="宋体" w:hAnsi="宋体" w:eastAsia="宋体" w:cs="宋体"/>
                <w:color w:val="auto"/>
                <w:sz w:val="21"/>
                <w:szCs w:val="21"/>
                <w:highlight w:val="none"/>
              </w:rPr>
              <w:t>后应检测套管与穿越管段之间的绝缘电阻，电阻值应大于2MΩ，检测合格后应按设计要求密封套管的两端口。</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5.4.3 顶管工作井的长度和宽度应满足连续施工的要求，深度应根据穿越管道的敷设深度确定。工作井的底部应平整、结实。后坐墙表面应平直，且应垂直于顶进管道的轴线。</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5.4.7 顶管设备的安装和使用应符合下列规定：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1 顶管设备的安装应符合下列规定：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1</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 xml:space="preserve">两层轨应顺直、平行、等高，纵坡应与管道设计坡度一致； </w:t>
            </w:r>
          </w:p>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2</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导轨安装的允许偏差应符合</w:t>
            </w:r>
            <w:r>
              <w:rPr>
                <w:rFonts w:hint="eastAsia" w:ascii="宋体" w:hAnsi="宋体" w:eastAsia="宋体" w:cs="宋体"/>
                <w:color w:val="auto"/>
                <w:kern w:val="0"/>
                <w:sz w:val="21"/>
                <w:szCs w:val="21"/>
                <w:highlight w:val="none"/>
                <w:lang w:eastAsia="zh-CN" w:bidi="ar"/>
              </w:rPr>
              <w:t>表</w:t>
            </w:r>
            <w:r>
              <w:rPr>
                <w:rFonts w:hint="eastAsia" w:ascii="宋体" w:hAnsi="宋体" w:eastAsia="宋体" w:cs="宋体"/>
                <w:color w:val="auto"/>
                <w:kern w:val="0"/>
                <w:sz w:val="21"/>
                <w:szCs w:val="21"/>
                <w:highlight w:val="none"/>
                <w:lang w:bidi="ar"/>
              </w:rPr>
              <w:t>5.4.7</w:t>
            </w:r>
            <w:r>
              <w:rPr>
                <w:rFonts w:hint="eastAsia" w:ascii="宋体" w:hAnsi="宋体" w:eastAsia="宋体" w:cs="宋体"/>
                <w:color w:val="auto"/>
                <w:kern w:val="0"/>
                <w:sz w:val="21"/>
                <w:szCs w:val="21"/>
                <w:highlight w:val="none"/>
                <w:lang w:eastAsia="zh-CN" w:bidi="ar"/>
              </w:rPr>
              <w:t>的</w:t>
            </w:r>
            <w:r>
              <w:rPr>
                <w:rFonts w:hint="eastAsia" w:ascii="宋体" w:hAnsi="宋体" w:eastAsia="宋体" w:cs="宋体"/>
                <w:color w:val="auto"/>
                <w:kern w:val="0"/>
                <w:sz w:val="21"/>
                <w:szCs w:val="21"/>
                <w:highlight w:val="none"/>
                <w:lang w:bidi="ar"/>
              </w:rPr>
              <w:t xml:space="preserve">规定： </w:t>
            </w:r>
          </w:p>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5.4.7 导轨安装的允许偏差</w:t>
            </w:r>
          </w:p>
          <w:tbl>
            <w:tblPr>
              <w:tblStyle w:val="121"/>
              <w:tblW w:w="4999"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5261"/>
              <w:gridCol w:w="55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jc w:val="center"/>
              </w:trPr>
              <w:tc>
                <w:tcPr>
                  <w:tcW w:w="2428"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项 目</w:t>
                  </w:r>
                </w:p>
              </w:tc>
              <w:tc>
                <w:tcPr>
                  <w:tcW w:w="2571"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允许偏差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jc w:val="center"/>
              </w:trPr>
              <w:tc>
                <w:tcPr>
                  <w:tcW w:w="2428"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轴线位置</w:t>
                  </w:r>
                </w:p>
              </w:tc>
              <w:tc>
                <w:tcPr>
                  <w:tcW w:w="2571"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+3mm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jc w:val="center"/>
              </w:trPr>
              <w:tc>
                <w:tcPr>
                  <w:tcW w:w="2428"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顶面高程</w:t>
                  </w:r>
                </w:p>
              </w:tc>
              <w:tc>
                <w:tcPr>
                  <w:tcW w:w="2571"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0mm</w:t>
                  </w:r>
                  <w:r>
                    <w:rPr>
                      <w:rFonts w:hint="eastAsia" w:ascii="宋体" w:hAnsi="宋体" w:eastAsia="宋体" w:cs="宋体"/>
                      <w:color w:val="auto"/>
                      <w:spacing w:val="-2"/>
                      <w:sz w:val="21"/>
                      <w:szCs w:val="21"/>
                      <w:highlight w:val="none"/>
                    </w:rPr>
                    <w:t>～</w:t>
                  </w:r>
                  <w:r>
                    <w:rPr>
                      <w:rFonts w:hint="eastAsia" w:ascii="宋体" w:hAnsi="宋体" w:eastAsia="宋体" w:cs="宋体"/>
                      <w:color w:val="auto"/>
                      <w:kern w:val="0"/>
                      <w:sz w:val="21"/>
                      <w:szCs w:val="21"/>
                      <w:highlight w:val="none"/>
                      <w:lang w:bidi="ar"/>
                    </w:rPr>
                    <w:t>+3mm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jc w:val="center"/>
              </w:trPr>
              <w:tc>
                <w:tcPr>
                  <w:tcW w:w="2428"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两轨内距</w:t>
                  </w:r>
                </w:p>
              </w:tc>
              <w:tc>
                <w:tcPr>
                  <w:tcW w:w="2571" w:type="pct"/>
                  <w:tcBorders>
                    <w:top w:val="single" w:color="000000" w:sz="2" w:space="0"/>
                    <w:bottom w:val="single" w:color="000000" w:sz="2" w:space="0"/>
                  </w:tcBorders>
                  <w:vAlign w:val="center"/>
                </w:tcPr>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+2mm</w:t>
                  </w:r>
                </w:p>
              </w:tc>
            </w:tr>
          </w:tbl>
          <w:p>
            <w:pPr>
              <w:keepNext w:val="0"/>
              <w:keepLines w:val="0"/>
              <w:pageBreakBefore w:val="0"/>
              <w:widowControl/>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3</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 xml:space="preserve">安装后的导轨应牢固，不得在使用中产生位移，并应定时检查校核。 </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4 顶管时，应采用测量仪器控制中心线和高程，以施工放线时布置的中心桩为基准进行导向监控。第一根套管顶进中心线与管道轴线的偏差不应超过管长的3% 。初始顶进中，每顶进300mm 应检查1次；正常顶进后，每顶进1m 检查不应少于1次。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3.2.5.4</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穿跨越管道敷设</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跨越敷设应符合设计文件和相关标准的要求。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公用管道》GB/T38942-2020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5.1.5.1.4 当利用道路桥梁跨越河流时，应符合下列要求：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a）随桥梁跨越河流的燃气管道输送压力不应大于0.4MPa；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b）敷设于桥梁上的燃气管道应采用加厚的无缝钢管或焊接钢管，尽量减少焊缝；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c）跨越通航河流的燃气管道的管底标高应符合通航净空的要求，管架外侧应设置护桩；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d）燃气管道与随桥梁敷设的其他管道的间距应符合CJJ/T250的有关规定；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val="en-US" w:eastAsia="zh-CN" w:bidi="ar"/>
              </w:rPr>
              <w:t>e）</w:t>
            </w:r>
            <w:r>
              <w:rPr>
                <w:rFonts w:hint="eastAsia" w:ascii="宋体" w:hAnsi="宋体" w:eastAsia="宋体" w:cs="宋体"/>
                <w:color w:val="auto"/>
                <w:kern w:val="0"/>
                <w:sz w:val="21"/>
                <w:szCs w:val="21"/>
                <w:highlight w:val="none"/>
                <w:lang w:bidi="ar"/>
              </w:rPr>
              <w:t xml:space="preserve">对燃气管道采取必要的热补偿和减震措施；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f）随桥梁敷设的燃气管道应采用较高等级的防腐保护，当连接的埋地燃气管道为钢管并进行阴极保护时，应根据阴极保护需要设置绝缘装置；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 xml:space="preserve">g）跨越河流的燃气管道的支座（架）材料的耐火极限不应低于1.00h；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h）应采取有效技术措施避免桥梁不均匀沉降对燃气管道的影响和燃气管道热膨胀对桥梁的影响。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《城镇燃气管道穿跨越工程技术规程》</w:t>
            </w:r>
            <w:r>
              <w:rPr>
                <w:rFonts w:hint="eastAsia" w:ascii="宋体" w:hAnsi="宋体" w:eastAsia="宋体" w:cs="宋体"/>
                <w:color w:val="auto"/>
                <w:sz w:val="21"/>
                <w:szCs w:val="21"/>
                <w:highlight w:val="none"/>
                <w:lang w:eastAsia="zh-CN"/>
              </w:rPr>
              <w:t>CJJ/T</w:t>
            </w:r>
            <w:r>
              <w:rPr>
                <w:rFonts w:hint="eastAsia" w:ascii="宋体" w:hAnsi="宋体" w:eastAsia="宋体" w:cs="宋体"/>
                <w:color w:val="auto"/>
                <w:sz w:val="21"/>
                <w:szCs w:val="21"/>
                <w:highlight w:val="none"/>
              </w:rPr>
              <w:t>250-2016</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6.1.7 高压、次高压燃气管道跨越弯管的曲率半径不得小于管道直径的4倍。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7.3.3 随桥跨越燃气管道支、吊架的安装应符合下列规定：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 xml:space="preserve">3 焊接作业前，预埋件位置应符合设计要求；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4 支架与桥体预埋件</w:t>
            </w:r>
            <w:r>
              <w:rPr>
                <w:rFonts w:hint="eastAsia" w:ascii="宋体" w:hAnsi="宋体" w:eastAsia="宋体" w:cs="宋体"/>
                <w:color w:val="auto"/>
                <w:sz w:val="21"/>
                <w:szCs w:val="21"/>
                <w:highlight w:val="none"/>
                <w:lang w:eastAsia="zh-CN" w:bidi="zh-TW"/>
              </w:rPr>
              <w:t>（</w:t>
            </w:r>
            <w:r>
              <w:rPr>
                <w:rFonts w:hint="eastAsia" w:ascii="宋体" w:hAnsi="宋体" w:eastAsia="宋体" w:cs="宋体"/>
                <w:color w:val="auto"/>
                <w:sz w:val="21"/>
                <w:szCs w:val="21"/>
                <w:highlight w:val="none"/>
                <w:lang w:bidi="zh-TW"/>
              </w:rPr>
              <w:t>或连接处</w:t>
            </w:r>
            <w:r>
              <w:rPr>
                <w:rFonts w:hint="eastAsia" w:ascii="宋体" w:hAnsi="宋体" w:eastAsia="宋体" w:cs="宋体"/>
                <w:color w:val="auto"/>
                <w:sz w:val="21"/>
                <w:szCs w:val="21"/>
                <w:highlight w:val="none"/>
                <w:lang w:eastAsia="zh-CN" w:bidi="zh-TW"/>
              </w:rPr>
              <w:t>）</w:t>
            </w:r>
            <w:r>
              <w:rPr>
                <w:rFonts w:hint="eastAsia" w:ascii="宋体" w:hAnsi="宋体" w:eastAsia="宋体" w:cs="宋体"/>
                <w:color w:val="auto"/>
                <w:sz w:val="21"/>
                <w:szCs w:val="21"/>
                <w:highlight w:val="none"/>
                <w:lang w:bidi="zh-TW"/>
              </w:rPr>
              <w:t xml:space="preserve">的焊接应满焊，支架焊缝应焊透；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 xml:space="preserve">5 支、吊架安装应牢固，管道和支承面接触应良好；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zh-TW"/>
              </w:rPr>
              <w:t xml:space="preserve">6 固定支架应在补偿装置预拉伸或预压缩前固定；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zh-TW"/>
              </w:rPr>
              <w:t>7 导向支架或滑动支架的滑动面应洁净平整，不得有歪斜和卡涩现象。</w:t>
            </w:r>
            <w:r>
              <w:rPr>
                <w:rFonts w:hint="eastAsia" w:ascii="宋体" w:hAnsi="宋体" w:eastAsia="宋体" w:cs="宋体"/>
                <w:color w:val="auto"/>
                <w:sz w:val="21"/>
                <w:szCs w:val="21"/>
                <w:highlight w:val="non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3.2.5.5</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穿跨越管道敷设</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综合管廊内燃气管道的敷设应符合设计和相关标准的要求。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公用管道》GB/T38942-2020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8.1.5.4 管廊管道安全防护应符合下列规定：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e）进出综合管廊的燃气管道和廊内跨越变形缝处的管道应采取防止管廊沉降的自适应措施，并确保有效；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3.2.6</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default" w:ascii="宋体" w:hAnsi="宋体" w:eastAsia="宋体" w:cs="宋体"/>
                <w:b/>
                <w:bCs/>
                <w:color w:val="auto"/>
                <w:spacing w:val="-6"/>
                <w:kern w:val="0"/>
                <w:sz w:val="21"/>
                <w:szCs w:val="21"/>
                <w:highlight w:val="none"/>
                <w:lang w:val="en-US" w:eastAsia="zh-CN"/>
              </w:rPr>
            </w:pPr>
            <w:r>
              <w:rPr>
                <w:rFonts w:hint="eastAsia" w:ascii="宋体" w:hAnsi="宋体" w:eastAsia="宋体" w:cs="宋体"/>
                <w:b/>
                <w:bCs/>
                <w:color w:val="auto"/>
                <w:sz w:val="21"/>
                <w:szCs w:val="21"/>
                <w:highlight w:val="none"/>
              </w:rPr>
              <w:t>管道附件与设备安装</w:t>
            </w:r>
            <w:r>
              <w:rPr>
                <w:rFonts w:hint="eastAsia" w:ascii="宋体" w:hAnsi="宋体" w:eastAsia="宋体" w:cs="宋体"/>
                <w:b/>
                <w:bCs/>
                <w:color w:val="auto"/>
                <w:sz w:val="21"/>
                <w:szCs w:val="21"/>
                <w:highlight w:val="none"/>
                <w:lang w:val="en-US" w:eastAsia="zh-CN"/>
              </w:rPr>
              <w:t>及锚固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3.2.6.1</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管道附件、设备安装及锚固</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阀门安装应符合设计和相关标准的要求。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公用管道》GB/T38942-2020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6.4.7.3 阀门安装应符合下列规定：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a）阀门吊装应平稳，不得用阀门手轮作为吊装的承重点，不得损坏阀门，已安装就位的阀门应防止重物撞击。</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b）当焊接球阀水平安装时应将阀门完全开启，当垂直管道安装且焊接阀体下方焊缝时，应将阀门关闭。焊接过程中应对阀体进行降温，避免焊缝热影响区对阀体造成影响。当阀门与管道以法兰或螺纹方式连接时，阀门应在关闭状态下安装；当阀门与管道以焊接方式连接时，阀门不得关闭，且宜采用氩弧焊打底。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c）阀门不得强行组对连接或承受外加重力负荷，以防止由于附加应力而损坏阀门。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d）当焊接安装时，焊机地线应搭在同侧焊口的钢管上，不得搭在阀体上。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val="en-US" w:eastAsia="zh-CN" w:bidi="ar"/>
              </w:rPr>
              <w:t>e）</w:t>
            </w:r>
            <w:r>
              <w:rPr>
                <w:rFonts w:hint="eastAsia" w:ascii="宋体" w:hAnsi="宋体" w:eastAsia="宋体" w:cs="宋体"/>
                <w:color w:val="auto"/>
                <w:kern w:val="0"/>
                <w:sz w:val="21"/>
                <w:szCs w:val="21"/>
                <w:highlight w:val="none"/>
                <w:lang w:bidi="ar"/>
              </w:rPr>
              <w:t xml:space="preserve">阀门焊接完成降至环境温度后方可操作。 </w:t>
            </w:r>
          </w:p>
          <w:p>
            <w:pPr>
              <w:pStyle w:val="2"/>
              <w:keepNext w:val="0"/>
              <w:keepLines w:val="0"/>
              <w:pageBreakBefore w:val="0"/>
              <w:kinsoku/>
              <w:wordWrap/>
              <w:overflowPunct/>
              <w:topLinePunct w:val="0"/>
              <w:autoSpaceDE/>
              <w:autoSpaceDN/>
              <w:bidi w:val="0"/>
              <w:spacing w:line="260" w:lineRule="atLeast"/>
              <w:ind w:left="0" w:leftChars="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f）阀门安装时，应按阀门标示的介质流向与管道介质的流向确定阀门的安装方向，避免强力安装。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《阀门检验与安装规范》</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4102-2013</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en-US"/>
              </w:rPr>
              <w:t xml:space="preserve">4.1.2 </w:t>
            </w:r>
            <w:r>
              <w:rPr>
                <w:rFonts w:hint="eastAsia" w:ascii="宋体" w:hAnsi="宋体" w:eastAsia="宋体" w:cs="宋体"/>
                <w:color w:val="auto"/>
                <w:sz w:val="21"/>
                <w:szCs w:val="21"/>
                <w:highlight w:val="none"/>
              </w:rPr>
              <w:t>阀门安装前应逐个进行壳体压力试验和密封试验。有上密封结构的阀门应进行上密封试验；低压密封试验应根据设计要求进行。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3.2.6.2</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管道附件、设备安装及锚固</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凝水缸安装应符合设计和相关标准的要求。</w:t>
            </w:r>
          </w:p>
          <w:p>
            <w:pPr>
              <w:pStyle w:val="2"/>
              <w:keepNext w:val="0"/>
              <w:keepLines w:val="0"/>
              <w:pageBreakBefore w:val="0"/>
              <w:kinsoku/>
              <w:wordWrap/>
              <w:overflowPunct/>
              <w:topLinePunct w:val="0"/>
              <w:autoSpaceDE/>
              <w:autoSpaceDN/>
              <w:bidi w:val="0"/>
              <w:spacing w:line="260" w:lineRule="atLeast"/>
              <w:ind w:left="0" w:leftChars="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8.3.1钢制凝水缸在安装前，应按设计要求对外表面进行防腐。</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8.3.2 安装完毕后，凝水缸的抽液管应按同管道的防腐等级进行防腐。</w:t>
            </w:r>
          </w:p>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8.3.3 凝水缸必须按现场实际情况，安装在所在管段的最低处。</w:t>
            </w:r>
          </w:p>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8.3.4 凝水缸盖应安装在凝水缸井的中央位置，出水口阀门的安装位置应合理，并应有足够的操作和检修空间。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3.2.6.3</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管道附件、设备安装及锚固</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管道补偿器安装应符合设计和相关标准的要求。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公用管道》GB/T38942-2020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6.4.7.4 管道补偿装置应符合下列规定：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a）自然补偿器的安装应符合下列规定： </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1）应按设计文件规定进行预拉伸或预压缩，允许偏差为预伸缩量的10%，且不大于10mm；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b）波纹管膨胀节的安装应符合下列规定： </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2）波纹管膨胀节内套有焊缝的一端，在水平管道上应迎介质流向安装，在铅垂管道上应置于上部； </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3）波纹管膨胀节应与管道保持同轴，不得偏斜；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8.4.1 波纹补偿器的安装应符合下列要求：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补偿器应与管道保持同轴，不得偏斜。安装时不得用补偿器的变形</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轴向、径向、扭转等</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来调整管位的安装误差。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3.2.6.4</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管道附件、设备安装及锚固</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绝缘接头（法兰）的安装应符合设计和相关标准的要求。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《绝缘接头与绝缘法兰技术规范》</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0516-2016</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en-US"/>
              </w:rPr>
              <w:t xml:space="preserve">11.1.1 </w:t>
            </w:r>
            <w:r>
              <w:rPr>
                <w:rFonts w:hint="eastAsia" w:ascii="宋体" w:hAnsi="宋体" w:eastAsia="宋体" w:cs="宋体"/>
                <w:color w:val="auto"/>
                <w:sz w:val="21"/>
                <w:szCs w:val="21"/>
                <w:highlight w:val="none"/>
                <w:lang w:bidi="zh-TW"/>
              </w:rPr>
              <w:t>埋地的绝缘接头应位于管道的水平或竖直管段上，不应安装在常年积水或管道走向的低洼处。</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en-US"/>
              </w:rPr>
              <w:t xml:space="preserve">11.1.4 </w:t>
            </w:r>
            <w:r>
              <w:rPr>
                <w:rFonts w:hint="eastAsia" w:ascii="宋体" w:hAnsi="宋体" w:eastAsia="宋体" w:cs="宋体"/>
                <w:color w:val="auto"/>
                <w:sz w:val="21"/>
                <w:szCs w:val="21"/>
                <w:highlight w:val="none"/>
                <w:lang w:bidi="zh-TW"/>
              </w:rPr>
              <w:t>绝缘接头、绝缘法兰安装两端</w:t>
            </w:r>
            <w:r>
              <w:rPr>
                <w:rFonts w:hint="eastAsia" w:ascii="宋体" w:hAnsi="宋体" w:eastAsia="宋体" w:cs="宋体"/>
                <w:color w:val="auto"/>
                <w:sz w:val="21"/>
                <w:szCs w:val="21"/>
                <w:highlight w:val="none"/>
                <w:lang w:bidi="en-US"/>
              </w:rPr>
              <w:t>12m</w:t>
            </w:r>
            <w:r>
              <w:rPr>
                <w:rFonts w:hint="eastAsia" w:ascii="宋体" w:hAnsi="宋体" w:eastAsia="宋体" w:cs="宋体"/>
                <w:color w:val="auto"/>
                <w:sz w:val="21"/>
                <w:szCs w:val="21"/>
                <w:highlight w:val="none"/>
                <w:lang w:bidi="zh-TW"/>
              </w:rPr>
              <w:t>范围内不宜有待焊接死口。</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en-US"/>
              </w:rPr>
              <w:t xml:space="preserve">11.2.4 </w:t>
            </w:r>
            <w:r>
              <w:rPr>
                <w:rFonts w:hint="eastAsia" w:ascii="宋体" w:hAnsi="宋体" w:eastAsia="宋体" w:cs="宋体"/>
                <w:color w:val="auto"/>
                <w:sz w:val="21"/>
                <w:szCs w:val="21"/>
                <w:highlight w:val="none"/>
                <w:lang w:bidi="zh-TW"/>
              </w:rPr>
              <w:t>绝缘接头、绝缘法兰与管道焊接时应保证与管道对齐，且不应强力组对，且应保证焊接处自由伸缩，无阻碍。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en-US"/>
              </w:rPr>
              <w:t xml:space="preserve">11.2.5 </w:t>
            </w:r>
            <w:r>
              <w:rPr>
                <w:rFonts w:hint="eastAsia" w:ascii="宋体" w:hAnsi="宋体" w:eastAsia="宋体" w:cs="宋体"/>
                <w:color w:val="auto"/>
                <w:sz w:val="21"/>
                <w:szCs w:val="21"/>
                <w:highlight w:val="none"/>
                <w:lang w:bidi="zh-TW"/>
              </w:rPr>
              <w:t>现场安装焊接时，绝缘接头中间部位温度不应超过</w:t>
            </w:r>
            <w:r>
              <w:rPr>
                <w:rFonts w:hint="eastAsia" w:ascii="宋体" w:hAnsi="宋体" w:eastAsia="宋体" w:cs="宋体"/>
                <w:color w:val="auto"/>
                <w:sz w:val="21"/>
                <w:szCs w:val="21"/>
                <w:highlight w:val="none"/>
                <w:lang w:bidi="en-US"/>
              </w:rPr>
              <w:t>120C，</w:t>
            </w:r>
            <w:r>
              <w:rPr>
                <w:rFonts w:hint="eastAsia" w:ascii="宋体" w:hAnsi="宋体" w:eastAsia="宋体" w:cs="宋体"/>
                <w:color w:val="auto"/>
                <w:sz w:val="21"/>
                <w:szCs w:val="21"/>
                <w:highlight w:val="none"/>
                <w:lang w:bidi="zh-TW"/>
              </w:rPr>
              <w:t>必要时应采取冷却措施。</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vertAlign w:val="subscript"/>
                <w:lang w:bidi="en-US"/>
              </w:rPr>
            </w:pPr>
            <w:r>
              <w:rPr>
                <w:rFonts w:hint="eastAsia" w:ascii="宋体" w:hAnsi="宋体" w:eastAsia="宋体" w:cs="宋体"/>
                <w:color w:val="auto"/>
                <w:sz w:val="21"/>
                <w:szCs w:val="21"/>
                <w:highlight w:val="none"/>
                <w:lang w:bidi="en-US"/>
              </w:rPr>
              <w:t xml:space="preserve">11.3.1 </w:t>
            </w:r>
            <w:r>
              <w:rPr>
                <w:rFonts w:hint="eastAsia" w:ascii="宋体" w:hAnsi="宋体" w:eastAsia="宋体" w:cs="宋体"/>
                <w:color w:val="auto"/>
                <w:sz w:val="21"/>
                <w:szCs w:val="21"/>
                <w:highlight w:val="none"/>
                <w:lang w:bidi="zh-TW"/>
              </w:rPr>
              <w:t>绝缘接头、绝缘法兰与管道焊接后，下端应有稳固支撑。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《油气长输管道工程施工及验收规范》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50369-2014</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en-US"/>
              </w:rPr>
              <w:t xml:space="preserve">4.2.4 </w:t>
            </w:r>
            <w:r>
              <w:rPr>
                <w:rFonts w:hint="eastAsia" w:ascii="宋体" w:hAnsi="宋体" w:eastAsia="宋体" w:cs="宋体"/>
                <w:color w:val="auto"/>
                <w:sz w:val="21"/>
                <w:szCs w:val="21"/>
                <w:highlight w:val="none"/>
                <w:lang w:bidi="zh-TW"/>
              </w:rPr>
              <w:t>绝缘接头（法兰）安装前，应进行水压试验。试验压力应为设计压力的</w:t>
            </w:r>
            <w:r>
              <w:rPr>
                <w:rFonts w:hint="eastAsia" w:ascii="宋体" w:hAnsi="宋体" w:eastAsia="宋体" w:cs="宋体"/>
                <w:color w:val="auto"/>
                <w:sz w:val="21"/>
                <w:szCs w:val="21"/>
                <w:highlight w:val="none"/>
                <w:lang w:bidi="en-US"/>
              </w:rPr>
              <w:t>1.5</w:t>
            </w:r>
            <w:r>
              <w:rPr>
                <w:rFonts w:hint="eastAsia" w:ascii="宋体" w:hAnsi="宋体" w:eastAsia="宋体" w:cs="宋体"/>
                <w:color w:val="auto"/>
                <w:sz w:val="21"/>
                <w:szCs w:val="21"/>
                <w:highlight w:val="none"/>
                <w:lang w:bidi="zh-TW"/>
              </w:rPr>
              <w:t>倍，稳压时间应为</w:t>
            </w:r>
            <w:r>
              <w:rPr>
                <w:rFonts w:hint="eastAsia" w:ascii="宋体" w:hAnsi="宋体" w:eastAsia="宋体" w:cs="宋体"/>
                <w:color w:val="auto"/>
                <w:sz w:val="21"/>
                <w:szCs w:val="21"/>
                <w:highlight w:val="none"/>
                <w:lang w:bidi="en-US"/>
              </w:rPr>
              <w:t>5min，</w:t>
            </w:r>
            <w:r>
              <w:rPr>
                <w:rFonts w:hint="eastAsia" w:ascii="宋体" w:hAnsi="宋体" w:eastAsia="宋体" w:cs="宋体"/>
                <w:color w:val="auto"/>
                <w:sz w:val="21"/>
                <w:szCs w:val="21"/>
                <w:highlight w:val="none"/>
                <w:lang w:bidi="zh-TW"/>
              </w:rPr>
              <w:t>无泄漏为合格。试压后应清除残余水，应使用</w:t>
            </w:r>
            <w:r>
              <w:rPr>
                <w:rFonts w:hint="eastAsia" w:ascii="宋体" w:hAnsi="宋体" w:eastAsia="宋体" w:cs="宋体"/>
                <w:color w:val="auto"/>
                <w:sz w:val="21"/>
                <w:szCs w:val="21"/>
                <w:highlight w:val="none"/>
                <w:lang w:bidi="en-US"/>
              </w:rPr>
              <w:t>500V</w:t>
            </w:r>
            <w:r>
              <w:rPr>
                <w:rFonts w:hint="eastAsia" w:ascii="宋体" w:hAnsi="宋体" w:eastAsia="宋体" w:cs="宋体"/>
                <w:color w:val="auto"/>
                <w:sz w:val="21"/>
                <w:szCs w:val="21"/>
                <w:highlight w:val="none"/>
                <w:lang w:bidi="zh-TW"/>
              </w:rPr>
              <w:t>兆欧表进行电绝缘检测，绝缘电阻应大于</w:t>
            </w:r>
            <w:r>
              <w:rPr>
                <w:rFonts w:hint="eastAsia" w:ascii="宋体" w:hAnsi="宋体" w:eastAsia="宋体" w:cs="宋体"/>
                <w:color w:val="auto"/>
                <w:sz w:val="21"/>
                <w:szCs w:val="21"/>
                <w:highlight w:val="none"/>
                <w:lang w:bidi="en-US"/>
              </w:rPr>
              <w:t>2MΩ。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3.2.6.5</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管道附件、设备安装及锚固</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钢塑转换接头安装应符合设计和相关标准的要求。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《聚乙烯燃气管道工程技术标准》CJJ63-2018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5.5.3 钢塑转换管件的钢管端与钢管焊接时，应对钢塑过渡段采取降温措施。</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en-US"/>
              </w:rPr>
              <w:t xml:space="preserve">5.5.4 </w:t>
            </w:r>
            <w:r>
              <w:rPr>
                <w:rFonts w:hint="eastAsia" w:ascii="宋体" w:hAnsi="宋体" w:eastAsia="宋体" w:cs="宋体"/>
                <w:color w:val="auto"/>
                <w:sz w:val="21"/>
                <w:szCs w:val="21"/>
                <w:highlight w:val="none"/>
              </w:rPr>
              <w:t>钢塑转换管件连接后应对接头进行防腐处理，防腐等级应</w:t>
            </w:r>
            <w:r>
              <w:rPr>
                <w:rFonts w:hint="eastAsia" w:ascii="宋体" w:hAnsi="宋体" w:eastAsia="宋体" w:cs="宋体"/>
                <w:color w:val="auto"/>
                <w:sz w:val="21"/>
                <w:szCs w:val="21"/>
                <w:highlight w:val="none"/>
                <w:lang w:eastAsia="zh-CN"/>
              </w:rPr>
              <w:t>满足</w:t>
            </w:r>
            <w:r>
              <w:rPr>
                <w:rFonts w:hint="eastAsia" w:ascii="宋体" w:hAnsi="宋体" w:eastAsia="宋体" w:cs="宋体"/>
                <w:color w:val="auto"/>
                <w:sz w:val="21"/>
                <w:szCs w:val="21"/>
                <w:highlight w:val="none"/>
              </w:rPr>
              <w:t>设计要求，并应检验合格。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3.2.6.6</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管道附件、设备安装及锚固</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法兰安装应符合设计和相关标准的要求。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公用管道》GB/T38942-2020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6.4.7.1 法兰连接应符合下列规定：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a）应检查法兰密封面及密封垫片，不得有影响密封性能的划痕、斑点等缺陷，否则应予修理或更换。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b）一对法兰密封面间只允许使用一个垫片。当大直径垫片需要拼接时，应采用斜口搭接或迷宫式拼接，不得平口对接。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c）法兰接头装配应与管道同心，并应保证螺栓自由穿入。法兰螺栓孔应跨中安装。法兰间应保持平行，其偏差不得大于法兰外径的0.15%，且不得大于2mm。法兰接头装配时，垫片应均匀地压缩到预定的设计载荷。不得用强紧螺栓的方法消除法兰接头的歪斜。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d）法兰接头装配应使用同一规格螺栓，安装方向应一致。螺栓紧固后应与法兰紧贴，不得有楔缝。需加垫圈时，每个螺栓不应超过１个。所有螺母应全部拧入螺栓。任何情况下，螺母上未完全啮合的螺纹应不大于１个螺距。 </w:t>
            </w:r>
          </w:p>
          <w:p>
            <w:pPr>
              <w:pStyle w:val="2"/>
              <w:keepNext w:val="0"/>
              <w:keepLines w:val="0"/>
              <w:pageBreakBefore w:val="0"/>
              <w:kinsoku/>
              <w:wordWrap/>
              <w:overflowPunct/>
              <w:topLinePunct w:val="0"/>
              <w:autoSpaceDE/>
              <w:autoSpaceDN/>
              <w:bidi w:val="0"/>
              <w:spacing w:line="260" w:lineRule="atLeast"/>
              <w:ind w:left="0" w:leftChars="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ｅ）法兰接头装配时，如两个法兰的压力等级或力学性能有较大差别，应予特别注意。宜将螺栓拧紧至预定的扭矩。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 xml:space="preserve">33-2005 </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5.3.2 设计压力大于或等于1.6Mpa的管道使用的高强度螺栓、螺母应按以下规定进行检查：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螺栓、螺母应每批各取2个进行硬度检查，若有不合格，需加倍检查，如仍有不合格则应逐个检查，不合格者不得使用。</w:t>
            </w:r>
          </w:p>
          <w:p>
            <w:pPr>
              <w:pStyle w:val="2"/>
              <w:keepNext w:val="0"/>
              <w:keepLines w:val="0"/>
              <w:pageBreakBefore w:val="0"/>
              <w:kinsoku/>
              <w:wordWrap/>
              <w:overflowPunct/>
              <w:topLinePunct w:val="0"/>
              <w:autoSpaceDE/>
              <w:autoSpaceDN/>
              <w:bidi w:val="0"/>
              <w:spacing w:line="260" w:lineRule="atLeast"/>
              <w:ind w:left="0" w:leftChars="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硬度不合格的螺栓应取该批中硬度值最高、最低的螺栓各1只，校验其机械性能，若不合格，再取其硬度量接近的螺栓加倍校验，如仍不合格，则该批螺栓不得使用。</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5.3.3</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法兰垫片应符合下列要求：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石棉橡胶垫、橡胶垫及软塑料等非金属垫片应质地柔韧，不得有老化变质或分层现象，表面不应有折损、皱纹等缺陷。</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金属垫片的加工尺寸、精度、光洁度及硬度应符合相关要求</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表面不得有裂纹、毛刺、凹槽、径向划痕及锈斑等缺陷。</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包金属及缠绕式垫片不应有径向划痕、松散、翘曲等缺陷。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《聚乙烯燃气管道工程技术标准》CJJ63-2018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5.4.3 两法兰盘上螺孔应对中，法兰面应相互平行，螺栓孔与螺栓直径应配套，螺栓规格应一致，螺母应在同一侧；紧固法兰盘上的螺栓应按对称顺序分次均匀紧固，不得强力组装；螺栓拧紧后宜伸出螺母</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1-3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扣。法兰盘在静置8h〜10h后，应二次紧固。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3.2.6.7</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管道附件、设备安装及锚固</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管道支、吊架安装应符合设计和相关标准的要求。</w:t>
            </w:r>
          </w:p>
          <w:p>
            <w:pPr>
              <w:pStyle w:val="2"/>
              <w:keepNext w:val="0"/>
              <w:keepLines w:val="0"/>
              <w:pageBreakBefore w:val="0"/>
              <w:kinsoku/>
              <w:wordWrap/>
              <w:overflowPunct/>
              <w:topLinePunct w:val="0"/>
              <w:autoSpaceDE/>
              <w:autoSpaceDN/>
              <w:bidi w:val="0"/>
              <w:spacing w:line="260" w:lineRule="atLeast"/>
              <w:ind w:left="0" w:leftChars="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公用管道》GB/T38942-2020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6.4.7.5 支、吊架安装应符合下列规定：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a）管道安装时，应及时进行支、吊架的固定和调整工作。支、吊架位置应正确，管道和支承面接触应良好。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b）固定支架应在补偿装置预拉伸或预压缩前固定。导向支架或滑动支架的滑动面应洁净平整，不得有歪斜和卡涩现象。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c）支、吊架的焊接应由合格焊工施焊，并不得有漏焊、欠焊或焊接裂纹等缺陷。管道与支架焊接时，管道不得有咬边、烧穿等现象。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d）不得在滑动支架底板处临时点焊定位。仪表及电气的支撑件不得焊在活动支架上。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pStyle w:val="2"/>
              <w:keepNext w:val="0"/>
              <w:keepLines w:val="0"/>
              <w:pageBreakBefore w:val="0"/>
              <w:kinsoku/>
              <w:wordWrap/>
              <w:overflowPunct/>
              <w:topLinePunct w:val="0"/>
              <w:autoSpaceDE/>
              <w:autoSpaceDN/>
              <w:bidi w:val="0"/>
              <w:spacing w:line="260" w:lineRule="atLeast"/>
              <w:ind w:left="0" w:leftChars="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10.1.1 管道支、吊架安装前应进行标高和坡降测量并放线，固定后的支、吊架位置应正确，安装应平整、牢固，与管道接触良好。</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10.1.2 固定支架应按设计规定安装，安装补偿器时，应在补偿器预拉伸</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压缩</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之后固定。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10.1.3 导向支架或滑动支架的滑动面应洁净平整，不得有歪斜和卡涩现象。其安装位置应从支承面中心向位移反方向偏移，偏移量应为设计计算位移值的1／2或按设计规定。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10.1.4 焊接应由有上岗证的焊工施焊，并不得有漏焊、欠焊或焊接裂纹等缺陷。管道与支架焊接时，焊工资格应符合《城镇燃气输配工程施工及验收规范》CJJ33第1.0.4条的规定，且管道表面不得有咬边、气孔等缺陷。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3.2.6.</w:t>
            </w:r>
            <w:r>
              <w:rPr>
                <w:rFonts w:hint="eastAsia" w:ascii="宋体" w:hAnsi="宋体" w:eastAsia="宋体" w:cs="宋体"/>
                <w:color w:val="auto"/>
                <w:sz w:val="21"/>
                <w:szCs w:val="21"/>
                <w:highlight w:val="none"/>
                <w:lang w:val="en-US" w:eastAsia="zh-CN"/>
              </w:rPr>
              <w:t>8</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管道附件、设备安装及锚固</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设计单位、施工单位、设计单位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套管设置与安装应符合设计和相关标准的要求。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公用管道》GB/T38942-2020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5.1.3.2.10 埋地管道穿越铁路、公路时，除应符合国家现行标准的有关规定外，还应符合下列规定：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b）当穿越铁路、高速公路和Ⅱ级及以上公路时，管道应敷设在套管或涵洞内；当采用定向钻方式穿越，并征得铁路或高速公路及公路有关部门同意时，可不加套管；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c）当穿越电车轨道或城镇主要干道时，管道宜敷设在套管或管沟内，且管沟内应填满中性砂。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《城镇燃气管道穿跨越工程技术规程》</w:t>
            </w:r>
            <w:r>
              <w:rPr>
                <w:rFonts w:hint="eastAsia" w:ascii="宋体" w:hAnsi="宋体" w:eastAsia="宋体" w:cs="宋体"/>
                <w:color w:val="auto"/>
                <w:sz w:val="21"/>
                <w:szCs w:val="21"/>
                <w:highlight w:val="none"/>
                <w:lang w:eastAsia="zh-CN"/>
              </w:rPr>
              <w:t>CJJ/T</w:t>
            </w:r>
            <w:r>
              <w:rPr>
                <w:rFonts w:hint="eastAsia" w:ascii="宋体" w:hAnsi="宋体" w:eastAsia="宋体" w:cs="宋体"/>
                <w:color w:val="auto"/>
                <w:sz w:val="21"/>
                <w:szCs w:val="21"/>
                <w:highlight w:val="none"/>
              </w:rPr>
              <w:t>250-2016</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4.1.11</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当燃气管道采用加设套管穿越铁路、电车轨道、城镇主要干道时</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套管端部距铁路堤坡脚、电车道边轨的净距不应小于2m</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距路边缘的净距不应小于1m</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套管两端应密封</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重要地段</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套管宜安装检漏管。</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4.4.12 当顶进套管对内穿燃气管道的阴极保护产生屏蔽作用时，燃气管道的阴极保护方式宜采用牺牲阳极。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lang w:eastAsia="zh-CN"/>
              </w:rPr>
            </w:pPr>
            <w:r>
              <w:rPr>
                <w:rFonts w:hint="eastAsia" w:ascii="宋体" w:hAnsi="宋体" w:eastAsia="宋体" w:cs="宋体"/>
                <w:color w:val="auto"/>
                <w:spacing w:val="-6"/>
                <w:sz w:val="21"/>
                <w:szCs w:val="21"/>
                <w:highlight w:val="none"/>
              </w:rPr>
              <w:t>3.2.6.</w:t>
            </w:r>
            <w:r>
              <w:rPr>
                <w:rFonts w:hint="eastAsia" w:ascii="宋体" w:hAnsi="宋体" w:eastAsia="宋体" w:cs="宋体"/>
                <w:color w:val="auto"/>
                <w:spacing w:val="-6"/>
                <w:sz w:val="21"/>
                <w:szCs w:val="21"/>
                <w:highlight w:val="none"/>
                <w:lang w:val="en-US" w:eastAsia="zh-CN"/>
              </w:rPr>
              <w:t>9</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管道附件、设备安装及锚固</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管道的锚固敷设应符合设计及相关标准的要求。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GB/T</w:t>
            </w:r>
            <w:r>
              <w:rPr>
                <w:rFonts w:hint="eastAsia" w:ascii="宋体" w:hAnsi="宋体" w:eastAsia="宋体" w:cs="宋体"/>
                <w:color w:val="auto"/>
                <w:sz w:val="21"/>
                <w:szCs w:val="21"/>
                <w:highlight w:val="none"/>
              </w:rPr>
              <w:t xml:space="preserve">38942-2020 </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5.1.3.2.16 管道的锚固应符合下列要求：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a）管道沿高差较大陡坡敷设或在起伏较大区段敷设，应</w:t>
            </w:r>
            <w:r>
              <w:rPr>
                <w:rFonts w:hint="eastAsia" w:ascii="宋体" w:hAnsi="宋体" w:eastAsia="宋体" w:cs="宋体"/>
                <w:color w:val="auto"/>
                <w:kern w:val="0"/>
                <w:sz w:val="21"/>
                <w:szCs w:val="21"/>
                <w:highlight w:val="none"/>
                <w:lang w:eastAsia="zh-CN" w:bidi="ar"/>
              </w:rPr>
              <w:t>做</w:t>
            </w:r>
            <w:r>
              <w:rPr>
                <w:rFonts w:hint="eastAsia" w:ascii="宋体" w:hAnsi="宋体" w:eastAsia="宋体" w:cs="宋体"/>
                <w:color w:val="auto"/>
                <w:kern w:val="0"/>
                <w:sz w:val="21"/>
                <w:szCs w:val="21"/>
                <w:highlight w:val="none"/>
                <w:lang w:bidi="ar"/>
              </w:rPr>
              <w:t xml:space="preserve">管道纵向失稳校验，不满足要求时，应增加管道埋深或增设锚定装置；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b）当管道的设计温度与安装温度之差影响管道的稳定性时，宜在管道的出土段、弯头、管径改变处以及管道和清管器收发筒装置连接处，根据计算采取管道锚固措施；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c）设有绝缘接头的埋地管道，应在绝缘接头受力侧设置锚固墩。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《油气长输管道工程施工及验收规范》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50369-2014</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en-US"/>
              </w:rPr>
              <w:t xml:space="preserve">16.3.3 </w:t>
            </w:r>
            <w:r>
              <w:rPr>
                <w:rFonts w:hint="eastAsia" w:ascii="宋体" w:hAnsi="宋体" w:eastAsia="宋体" w:cs="宋体"/>
                <w:color w:val="auto"/>
                <w:sz w:val="21"/>
                <w:szCs w:val="21"/>
                <w:highlight w:val="none"/>
              </w:rPr>
              <w:t>锚固墩预制件的尺寸、规格、材质应符合设计要求。焊接时不得损伤管道母材，焊后应打磨棱角、毛刺，清除焊渣和表面锈蚀，除锈等级应符合现行行业标准《涂装前钢材表面处理规范》</w:t>
            </w:r>
            <w:r>
              <w:rPr>
                <w:rFonts w:hint="eastAsia" w:ascii="宋体" w:hAnsi="宋体" w:eastAsia="宋体" w:cs="宋体"/>
                <w:color w:val="auto"/>
                <w:sz w:val="21"/>
                <w:szCs w:val="21"/>
                <w:highlight w:val="none"/>
                <w:lang w:bidi="en-US"/>
              </w:rPr>
              <w:t>SY/T</w:t>
            </w:r>
            <w:r>
              <w:rPr>
                <w:rFonts w:hint="eastAsia" w:ascii="宋体" w:hAnsi="宋体" w:eastAsia="宋体" w:cs="宋体"/>
                <w:color w:val="auto"/>
                <w:sz w:val="21"/>
                <w:szCs w:val="21"/>
                <w:highlight w:val="none"/>
              </w:rPr>
              <w:t>0407中规定的</w:t>
            </w:r>
            <w:r>
              <w:rPr>
                <w:rFonts w:hint="eastAsia" w:ascii="宋体" w:hAnsi="宋体" w:eastAsia="宋体" w:cs="宋体"/>
                <w:color w:val="auto"/>
                <w:sz w:val="21"/>
                <w:szCs w:val="21"/>
                <w:highlight w:val="none"/>
                <w:lang w:bidi="en-US"/>
              </w:rPr>
              <w:t>Sal</w:t>
            </w:r>
            <w:r>
              <w:rPr>
                <w:rFonts w:hint="eastAsia" w:ascii="宋体" w:hAnsi="宋体" w:eastAsia="宋体" w:cs="宋体"/>
                <w:color w:val="auto"/>
                <w:sz w:val="21"/>
                <w:szCs w:val="21"/>
                <w:highlight w:val="none"/>
              </w:rPr>
              <w:t>级，并应按设计要求防腐绝缘。锚固墩及其以外</w:t>
            </w:r>
            <w:r>
              <w:rPr>
                <w:rFonts w:hint="eastAsia" w:ascii="宋体" w:hAnsi="宋体" w:eastAsia="宋体" w:cs="宋体"/>
                <w:color w:val="auto"/>
                <w:sz w:val="21"/>
                <w:szCs w:val="21"/>
                <w:highlight w:val="none"/>
                <w:lang w:bidi="en-US"/>
              </w:rPr>
              <w:t>2m</w:t>
            </w:r>
            <w:r>
              <w:rPr>
                <w:rFonts w:hint="eastAsia" w:ascii="宋体" w:hAnsi="宋体" w:eastAsia="宋体" w:cs="宋体"/>
                <w:color w:val="auto"/>
                <w:sz w:val="21"/>
                <w:szCs w:val="21"/>
                <w:highlight w:val="none"/>
              </w:rPr>
              <w:t>范围内的管道防腐层经电火花检漏合格后方可浇筑混凝土.混凝土应加强养护。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3.2.7</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管道防腐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3.2.7.1</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管道防腐</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管道防腐应符合设计和相关标准的要求。</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《城镇燃气输配工程施工及验收规范》CJJ33-2005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4.0.5 防腐前钢管表面的预处理应符合国家现行标准《涂装前钢材表面预处理规范》SY/T0407和所使用的防腐材料对钢管除锈的要求。</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5.3.7 法兰直埋时，必须对法兰和紧固件按管道相同的防腐等级进行防腐。</w:t>
            </w:r>
          </w:p>
          <w:p>
            <w:pPr>
              <w:pStyle w:val="12"/>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5.4.10 管道下沟前必须对防腐层进行100%的外观检查，回填前应进行100%电火花检漏，回填后必须对防腐层完整性进行全线检查，不合格必须返工处理直至合格。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《城镇燃气管道穿跨越工程技术规程》</w:t>
            </w:r>
            <w:r>
              <w:rPr>
                <w:rFonts w:hint="eastAsia" w:ascii="宋体" w:hAnsi="宋体" w:eastAsia="宋体" w:cs="宋体"/>
                <w:color w:val="auto"/>
                <w:sz w:val="21"/>
                <w:szCs w:val="21"/>
                <w:highlight w:val="none"/>
                <w:lang w:eastAsia="zh-CN"/>
              </w:rPr>
              <w:t>CJJ/T</w:t>
            </w:r>
            <w:r>
              <w:rPr>
                <w:rFonts w:hint="eastAsia" w:ascii="宋体" w:hAnsi="宋体" w:eastAsia="宋体" w:cs="宋体"/>
                <w:color w:val="auto"/>
                <w:sz w:val="21"/>
                <w:szCs w:val="21"/>
                <w:highlight w:val="none"/>
              </w:rPr>
              <w:t xml:space="preserve">250-2016 </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◇跨越管道防腐：</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7.1.13 管道的除锈、防腐宜统一在防腐车间</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场、站</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进行。除锈质量应符合国家现行标准《涂覆涂料前钢材表面处理表面清洁度的目视评定 第1部分： 未涂覆过的钢材表面和全面清除  原有涂层后的钢材表面的锈蚀等级和处理等级》GB/T8923.1</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有关规定，除锈等级不低于St3或Sa2.5。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《油气长输管道工程施工及验收规范》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50369-2014</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en-US"/>
              </w:rPr>
              <w:t xml:space="preserve">11.0.3 </w:t>
            </w:r>
            <w:r>
              <w:rPr>
                <w:rFonts w:hint="eastAsia" w:ascii="宋体" w:hAnsi="宋体" w:eastAsia="宋体" w:cs="宋体"/>
                <w:color w:val="auto"/>
                <w:sz w:val="21"/>
                <w:szCs w:val="21"/>
                <w:highlight w:val="none"/>
                <w:lang w:bidi="zh-TW"/>
              </w:rPr>
              <w:t>防腐层的外表而应平整，无漏涂、褶皱、流淌、气泡和针孔等缺陷；防腐层应能有效地附着在金属表面；聚乙烯热收缩套（带）、聚乙烯冷缠粘胶带，以及双组分环氧粉末补伤液、补伤热熔棒等补口、补伤材料应按其生产厂家使用说明的要求施工。</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en-US"/>
              </w:rPr>
              <w:t xml:space="preserve">11.0.5 </w:t>
            </w:r>
            <w:r>
              <w:rPr>
                <w:rFonts w:hint="eastAsia" w:ascii="宋体" w:hAnsi="宋体" w:eastAsia="宋体" w:cs="宋体"/>
                <w:color w:val="auto"/>
                <w:sz w:val="21"/>
                <w:szCs w:val="21"/>
                <w:highlight w:val="none"/>
              </w:rPr>
              <w:t>管道出、入土的防腐层应</w:t>
            </w:r>
            <w:r>
              <w:rPr>
                <w:rFonts w:hint="eastAsia" w:ascii="宋体" w:hAnsi="宋体" w:eastAsia="宋体" w:cs="宋体"/>
                <w:color w:val="auto"/>
                <w:sz w:val="21"/>
                <w:szCs w:val="21"/>
                <w:highlight w:val="none"/>
                <w:lang w:eastAsia="zh-CN"/>
              </w:rPr>
              <w:t>高出</w:t>
            </w:r>
            <w:r>
              <w:rPr>
                <w:rFonts w:hint="eastAsia" w:ascii="宋体" w:hAnsi="宋体" w:eastAsia="宋体" w:cs="宋体"/>
                <w:color w:val="auto"/>
                <w:sz w:val="21"/>
                <w:szCs w:val="21"/>
                <w:highlight w:val="none"/>
              </w:rPr>
              <w:t>地面</w:t>
            </w:r>
            <w:r>
              <w:rPr>
                <w:rFonts w:hint="eastAsia" w:ascii="宋体" w:hAnsi="宋体" w:eastAsia="宋体" w:cs="宋体"/>
                <w:color w:val="auto"/>
                <w:sz w:val="21"/>
                <w:szCs w:val="21"/>
                <w:highlight w:val="none"/>
                <w:lang w:bidi="en-US"/>
              </w:rPr>
              <w:t>100mm</w:t>
            </w:r>
            <w:r>
              <w:rPr>
                <w:rFonts w:hint="eastAsia" w:ascii="宋体" w:hAnsi="宋体" w:eastAsia="宋体" w:cs="宋体"/>
                <w:color w:val="auto"/>
                <w:sz w:val="21"/>
                <w:szCs w:val="21"/>
                <w:highlight w:val="none"/>
              </w:rPr>
              <w:t>以上，应在地面交界处的管外</w:t>
            </w:r>
            <w:r>
              <w:rPr>
                <w:rFonts w:hint="eastAsia" w:ascii="宋体" w:hAnsi="宋体" w:eastAsia="宋体" w:cs="宋体"/>
                <w:color w:val="auto"/>
                <w:sz w:val="21"/>
                <w:szCs w:val="21"/>
                <w:highlight w:val="none"/>
                <w:lang w:eastAsia="zh-CN"/>
              </w:rPr>
              <w:t>采取</w:t>
            </w:r>
            <w:r>
              <w:rPr>
                <w:rFonts w:hint="eastAsia" w:ascii="宋体" w:hAnsi="宋体" w:eastAsia="宋体" w:cs="宋体"/>
                <w:color w:val="auto"/>
                <w:sz w:val="21"/>
                <w:szCs w:val="21"/>
                <w:highlight w:val="none"/>
              </w:rPr>
              <w:t>包覆热收缩套或其他防护性措施。热收缩套搭接处应平缓，无破损和漏点。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3.2.7.2</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管道防腐</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补口、补伤应符合设计和相关标准的要求。</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《埋地钢质管道聚乙烯防腐层》GB/T23257-2017</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9.2.1 补口施工开工前，应编制补口施工工艺规程（APS），并按施工工艺规程进行工艺评定试验 （PQT）验证。</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9.3.1</w:t>
            </w:r>
            <w:r>
              <w:rPr>
                <w:rFonts w:hint="eastAsia" w:ascii="宋体" w:hAnsi="宋体" w:eastAsia="宋体" w:cs="宋体"/>
                <w:color w:val="auto"/>
                <w:sz w:val="21"/>
                <w:szCs w:val="21"/>
                <w:highlight w:val="none"/>
              </w:rPr>
              <w:t>当存在下列情况之一，且无有效措施时，不应进行露天补口施工：</w:t>
            </w:r>
          </w:p>
          <w:p>
            <w:pPr>
              <w:pStyle w:val="115"/>
              <w:keepNext w:val="0"/>
              <w:keepLines w:val="0"/>
              <w:pageBreakBefore w:val="0"/>
              <w:numPr>
                <w:numId w:val="0"/>
              </w:numPr>
              <w:tabs>
                <w:tab w:val="left" w:pos="838"/>
              </w:tabs>
              <w:kinsoku/>
              <w:wordWrap/>
              <w:overflowPunct/>
              <w:topLinePunct w:val="0"/>
              <w:autoSpaceDE/>
              <w:autoSpaceDN/>
              <w:bidi w:val="0"/>
              <w:spacing w:line="260" w:lineRule="atLeast"/>
              <w:ind w:left="420" w:left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a)</w:t>
            </w:r>
            <w:r>
              <w:rPr>
                <w:rFonts w:hint="eastAsia" w:ascii="宋体" w:hAnsi="宋体" w:eastAsia="宋体" w:cs="宋体"/>
                <w:color w:val="auto"/>
                <w:sz w:val="21"/>
                <w:szCs w:val="21"/>
                <w:highlight w:val="none"/>
              </w:rPr>
              <w:t>雨天、雪天、风沙天；</w:t>
            </w:r>
          </w:p>
          <w:p>
            <w:pPr>
              <w:pStyle w:val="115"/>
              <w:keepNext w:val="0"/>
              <w:keepLines w:val="0"/>
              <w:pageBreakBefore w:val="0"/>
              <w:numPr>
                <w:numId w:val="0"/>
              </w:numPr>
              <w:tabs>
                <w:tab w:val="left" w:pos="838"/>
              </w:tabs>
              <w:kinsoku/>
              <w:wordWrap/>
              <w:overflowPunct/>
              <w:topLinePunct w:val="0"/>
              <w:autoSpaceDE/>
              <w:autoSpaceDN/>
              <w:bidi w:val="0"/>
              <w:spacing w:line="260" w:lineRule="atLeast"/>
              <w:ind w:left="420" w:leftChars="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b)</w:t>
            </w:r>
            <w:r>
              <w:rPr>
                <w:rFonts w:hint="eastAsia" w:ascii="宋体" w:hAnsi="宋体" w:eastAsia="宋体" w:cs="宋体"/>
                <w:color w:val="auto"/>
                <w:sz w:val="21"/>
                <w:szCs w:val="21"/>
                <w:highlight w:val="none"/>
              </w:rPr>
              <w:t>风力达到5级以上</w:t>
            </w:r>
            <w:r>
              <w:rPr>
                <w:rFonts w:hint="eastAsia" w:ascii="宋体" w:hAnsi="宋体" w:eastAsia="宋体" w:cs="宋体"/>
                <w:color w:val="auto"/>
                <w:sz w:val="21"/>
                <w:szCs w:val="21"/>
                <w:highlight w:val="none"/>
                <w:lang w:val="en-US" w:eastAsia="zh-CN"/>
              </w:rPr>
              <w:t>;</w:t>
            </w:r>
          </w:p>
          <w:p>
            <w:pPr>
              <w:pStyle w:val="115"/>
              <w:keepNext w:val="0"/>
              <w:keepLines w:val="0"/>
              <w:pageBreakBefore w:val="0"/>
              <w:numPr>
                <w:numId w:val="0"/>
              </w:numPr>
              <w:tabs>
                <w:tab w:val="left" w:pos="838"/>
              </w:tabs>
              <w:kinsoku/>
              <w:wordWrap/>
              <w:overflowPunct/>
              <w:topLinePunct w:val="0"/>
              <w:autoSpaceDE/>
              <w:autoSpaceDN/>
              <w:bidi w:val="0"/>
              <w:spacing w:line="260" w:lineRule="atLeast"/>
              <w:ind w:left="420" w:left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c)</w:t>
            </w:r>
            <w:r>
              <w:rPr>
                <w:rFonts w:hint="eastAsia" w:ascii="宋体" w:hAnsi="宋体" w:eastAsia="宋体" w:cs="宋体"/>
                <w:color w:val="auto"/>
                <w:sz w:val="21"/>
                <w:szCs w:val="21"/>
                <w:highlight w:val="none"/>
              </w:rPr>
              <w:t>相对湿度大于85%；</w:t>
            </w:r>
          </w:p>
          <w:p>
            <w:pPr>
              <w:keepNext w:val="0"/>
              <w:keepLines w:val="0"/>
              <w:pageBreakBefore w:val="0"/>
              <w:numPr>
                <w:numId w:val="0"/>
              </w:numPr>
              <w:kinsoku/>
              <w:wordWrap/>
              <w:overflowPunct/>
              <w:topLinePunct w:val="0"/>
              <w:autoSpaceDE/>
              <w:autoSpaceDN/>
              <w:bidi w:val="0"/>
              <w:spacing w:line="260" w:lineRule="atLeast"/>
              <w:ind w:left="420" w:left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d)</w:t>
            </w:r>
            <w:r>
              <w:rPr>
                <w:rFonts w:hint="eastAsia" w:ascii="宋体" w:hAnsi="宋体" w:eastAsia="宋体" w:cs="宋体"/>
                <w:color w:val="auto"/>
                <w:sz w:val="21"/>
                <w:szCs w:val="21"/>
                <w:highlight w:val="none"/>
              </w:rPr>
              <w:t>环境温度低于0℃。</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9.3.3 </w:t>
            </w:r>
            <w:r>
              <w:rPr>
                <w:rFonts w:hint="eastAsia" w:ascii="宋体" w:hAnsi="宋体" w:eastAsia="宋体" w:cs="宋体"/>
                <w:color w:val="auto"/>
                <w:sz w:val="21"/>
                <w:szCs w:val="21"/>
                <w:highlight w:val="none"/>
              </w:rPr>
              <w:t>应对焊口进行清理，环向焊缝及其附近的毛刺、焊渣、飞溅物、焊瘤等应清理干净。补口处的污物、油和杂质应清理干净；防腐层端部有翘边、生锈、开裂等缺陷时</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应进行清理。</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9.3.4 在进行表面磨料喷砂除锈前，应使用无污染的热源将补口部位的钢管预热至露点以上至少5℃的温度。</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9.3.5 补口部位的喷砂除锈应采用适宜的磨料，粒度均匀，且应干燥、清洁、无杂质。补口部位的表面除锈等级应达到</w:t>
            </w:r>
            <w:r>
              <w:rPr>
                <w:rFonts w:hint="eastAsia" w:ascii="宋体" w:hAnsi="宋体" w:eastAsia="宋体" w:cs="宋体"/>
                <w:color w:val="auto"/>
                <w:sz w:val="21"/>
                <w:szCs w:val="21"/>
                <w:highlight w:val="none"/>
                <w:lang w:eastAsia="zh-CN"/>
              </w:rPr>
              <w:t>GB/T</w:t>
            </w:r>
            <w:r>
              <w:rPr>
                <w:rFonts w:hint="eastAsia" w:ascii="宋体" w:hAnsi="宋体" w:eastAsia="宋体" w:cs="宋体"/>
                <w:color w:val="auto"/>
                <w:sz w:val="21"/>
                <w:szCs w:val="21"/>
                <w:highlight w:val="none"/>
              </w:rPr>
              <w:t>8923.1规定的Sa2.5级，锚纹深度应达到40um〜90umo除锈后应清除表面灰尘，表面灰尘度等级应不低于GB/T18570.3规定的3级。</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9.3.6 补口部位钢管表面处理与补口施工间隔时间不宜超过2h，表面返锈时，应重新进行表面处理。</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9.3.11 收缩后，热收缩带（套）与聚乙烯层搭接宽度应不小于100mm；采用热收缩带时，应采用固定片固定，周向搭接宽度应不小于80mm。</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9.4 </w:t>
            </w:r>
            <w:r>
              <w:rPr>
                <w:rFonts w:hint="eastAsia" w:ascii="宋体" w:hAnsi="宋体" w:eastAsia="宋体" w:cs="宋体"/>
                <w:color w:val="auto"/>
                <w:sz w:val="21"/>
                <w:szCs w:val="21"/>
                <w:highlight w:val="none"/>
              </w:rPr>
              <w:t>补口质量检验</w:t>
            </w:r>
          </w:p>
          <w:p>
            <w:pPr>
              <w:pStyle w:val="115"/>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补口质量应检验外观、漏点及剥离强度等三项内容，检验宜在补口安装24</w:t>
            </w:r>
            <w:r>
              <w:rPr>
                <w:rFonts w:hint="eastAsia" w:ascii="宋体" w:hAnsi="宋体" w:eastAsia="宋体" w:cs="宋体"/>
                <w:color w:val="auto"/>
                <w:sz w:val="21"/>
                <w:szCs w:val="21"/>
                <w:highlight w:val="none"/>
                <w:lang w:val="en-US" w:eastAsia="zh-CN"/>
              </w:rPr>
              <w:t>h</w:t>
            </w:r>
            <w:r>
              <w:rPr>
                <w:rFonts w:hint="eastAsia" w:ascii="宋体" w:hAnsi="宋体" w:eastAsia="宋体" w:cs="宋体"/>
                <w:color w:val="auto"/>
                <w:sz w:val="21"/>
                <w:szCs w:val="21"/>
                <w:highlight w:val="none"/>
              </w:rPr>
              <w:t>后进行：</w:t>
            </w:r>
          </w:p>
          <w:p>
            <w:pPr>
              <w:pStyle w:val="115"/>
              <w:keepNext w:val="0"/>
              <w:keepLines w:val="0"/>
              <w:pageBreakBefore w:val="0"/>
              <w:widowControl w:val="0"/>
              <w:numPr>
                <w:numId w:val="0"/>
              </w:numPr>
              <w:tabs>
                <w:tab w:val="left" w:pos="850"/>
              </w:tabs>
              <w:kinsoku/>
              <w:wordWrap/>
              <w:overflowPunct/>
              <w:topLinePunct w:val="0"/>
              <w:autoSpaceDE/>
              <w:autoSpaceDN/>
              <w:bidi w:val="0"/>
              <w:adjustRightInd/>
              <w:snapToGrid/>
              <w:spacing w:line="260" w:lineRule="atLeast"/>
              <w:ind w:leftChars="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a)</w:t>
            </w:r>
            <w:r>
              <w:rPr>
                <w:rFonts w:hint="eastAsia" w:ascii="宋体" w:hAnsi="宋体" w:eastAsia="宋体" w:cs="宋体"/>
                <w:color w:val="auto"/>
                <w:sz w:val="21"/>
                <w:szCs w:val="21"/>
                <w:highlight w:val="none"/>
                <w:lang w:val="en-US" w:eastAsia="zh-CN"/>
              </w:rPr>
              <w:t>补口的外观应逐个目测检查，热收缩带（套）表面应平整、无皱褶、无气泡、无空鼓、无烧焦炭化等现象；热收缩带（套）周向应有胶粘剂均匀溢出。固定片与热收缩带搭接部位的滑移量不应大于5mm；</w:t>
            </w:r>
          </w:p>
          <w:p>
            <w:pPr>
              <w:pStyle w:val="115"/>
              <w:keepNext w:val="0"/>
              <w:keepLines w:val="0"/>
              <w:pageBreakBefore w:val="0"/>
              <w:widowControl w:val="0"/>
              <w:numPr>
                <w:numId w:val="0"/>
              </w:numPr>
              <w:tabs>
                <w:tab w:val="left" w:pos="850"/>
              </w:tabs>
              <w:kinsoku/>
              <w:wordWrap/>
              <w:overflowPunct/>
              <w:topLinePunct w:val="0"/>
              <w:autoSpaceDE/>
              <w:autoSpaceDN/>
              <w:bidi w:val="0"/>
              <w:adjustRightInd/>
              <w:snapToGrid/>
              <w:spacing w:line="260" w:lineRule="atLeast"/>
              <w:ind w:leftChars="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b)</w:t>
            </w:r>
            <w:r>
              <w:rPr>
                <w:rFonts w:hint="eastAsia" w:ascii="宋体" w:hAnsi="宋体" w:eastAsia="宋体" w:cs="宋体"/>
                <w:color w:val="auto"/>
                <w:sz w:val="21"/>
                <w:szCs w:val="21"/>
                <w:highlight w:val="none"/>
                <w:lang w:val="en-US" w:eastAsia="zh-CN"/>
              </w:rPr>
              <w:t>每一个补口均应用电火花检漏仪进行漏点检查。检漏电压为15kVo若有漏点，应重新补口并检漏，直至合格；</w:t>
            </w:r>
            <w:bookmarkStart w:id="3" w:name="bookmark50"/>
          </w:p>
          <w:bookmarkEnd w:id="3"/>
          <w:p>
            <w:pPr>
              <w:pStyle w:val="115"/>
              <w:keepNext w:val="0"/>
              <w:keepLines w:val="0"/>
              <w:pageBreakBefore w:val="0"/>
              <w:widowControl w:val="0"/>
              <w:numPr>
                <w:numId w:val="0"/>
              </w:numPr>
              <w:tabs>
                <w:tab w:val="left" w:pos="850"/>
              </w:tabs>
              <w:kinsoku/>
              <w:wordWrap/>
              <w:overflowPunct/>
              <w:topLinePunct w:val="0"/>
              <w:autoSpaceDE/>
              <w:autoSpaceDN/>
              <w:bidi w:val="0"/>
              <w:adjustRightInd/>
              <w:snapToGrid/>
              <w:spacing w:line="260" w:lineRule="atLeast"/>
              <w:ind w:leftChars="0"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c)</w:t>
            </w:r>
            <w:r>
              <w:rPr>
                <w:rFonts w:hint="eastAsia" w:ascii="宋体" w:hAnsi="宋体" w:eastAsia="宋体" w:cs="宋体"/>
                <w:color w:val="auto"/>
                <w:sz w:val="21"/>
                <w:szCs w:val="21"/>
                <w:highlight w:val="none"/>
                <w:lang w:val="en-US" w:eastAsia="zh-CN"/>
              </w:rPr>
              <w:t>补口后热收缩带（套）的剥离强度按附录K规定的方法进行检测。检验时的管体温度宜为15℃〜25℃，对钢管和聚乙烯防腐层的剥离强度都应不小于50N/cm并80%表面呈内聚破坏，当剥离强度超过100N/cm时，可以呈界面破坏，剥离面的底漆应完整附着在钢管表面。每100个补口至少抽测一个口，如不合格，应加倍抽测。加倍抽测仍有不合格时，则对应的100个补口应全部返修。</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9.5.2</w:t>
            </w:r>
            <w:r>
              <w:rPr>
                <w:rFonts w:hint="eastAsia" w:ascii="宋体" w:hAnsi="宋体" w:eastAsia="宋体" w:cs="宋体"/>
                <w:color w:val="auto"/>
                <w:sz w:val="21"/>
                <w:szCs w:val="21"/>
                <w:highlight w:val="none"/>
              </w:rPr>
              <w:t>对于小于或等于30</w:t>
            </w:r>
            <w:r>
              <w:rPr>
                <w:rFonts w:hint="eastAsia" w:ascii="宋体" w:hAnsi="宋体" w:eastAsia="宋体" w:cs="宋体"/>
                <w:color w:val="auto"/>
                <w:sz w:val="21"/>
                <w:szCs w:val="21"/>
                <w:highlight w:val="none"/>
                <w:lang w:val="en-US" w:eastAsia="zh-CN"/>
              </w:rPr>
              <w:t>mm</w:t>
            </w:r>
            <w:r>
              <w:rPr>
                <w:rFonts w:hint="eastAsia" w:ascii="宋体" w:hAnsi="宋体" w:eastAsia="宋体" w:cs="宋体"/>
                <w:color w:val="auto"/>
                <w:sz w:val="21"/>
                <w:szCs w:val="21"/>
                <w:highlight w:val="none"/>
              </w:rPr>
              <w:t>的损伤，可采用辐射交联聚乙烯补伤片修补。补伤片的性能应达到热收缩带的规定，补伤片对聚乙烯的剥离强度应不低于50</w:t>
            </w:r>
            <w:r>
              <w:rPr>
                <w:rFonts w:hint="eastAsia" w:ascii="宋体" w:hAnsi="宋体" w:eastAsia="宋体" w:cs="宋体"/>
                <w:color w:val="auto"/>
                <w:sz w:val="21"/>
                <w:szCs w:val="21"/>
                <w:highlight w:val="none"/>
                <w:lang w:val="en-US" w:eastAsia="zh-CN"/>
              </w:rPr>
              <w:t>N/cm。</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9.5.3 修补时，应先除去损伤部位的污物，并将该处的聚乙烯层打毛。然后将损伤部位的聚乙烯层修切圆滑，边缘应形成钝角，在孔内填满与补伤片配套的胶粘剂，然后贴上补伤片。补伤片的大小应保证其边缘距聚乙烯层的孔洞边缘不小于100 mm。贴补时应边加热边用辐子滚压或戴耐热手套用手挤压，排出空气，直至补伤片四周胶粘剂均匀溢出。</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 xml:space="preserve">9.5.4 </w:t>
            </w:r>
            <w:r>
              <w:rPr>
                <w:rFonts w:hint="eastAsia" w:ascii="宋体" w:hAnsi="宋体" w:eastAsia="宋体" w:cs="宋体"/>
                <w:color w:val="auto"/>
                <w:sz w:val="21"/>
                <w:szCs w:val="21"/>
                <w:highlight w:val="none"/>
              </w:rPr>
              <w:t>对于大于30</w:t>
            </w:r>
            <w:r>
              <w:rPr>
                <w:rFonts w:hint="eastAsia" w:ascii="宋体" w:hAnsi="宋体" w:eastAsia="宋体" w:cs="宋体"/>
                <w:color w:val="auto"/>
                <w:sz w:val="21"/>
                <w:szCs w:val="21"/>
                <w:highlight w:val="none"/>
                <w:lang w:val="en-US" w:eastAsia="zh-CN" w:bidi="en-US"/>
              </w:rPr>
              <w:t>mm</w:t>
            </w:r>
            <w:r>
              <w:rPr>
                <w:rFonts w:hint="eastAsia" w:ascii="宋体" w:hAnsi="宋体" w:eastAsia="宋体" w:cs="宋体"/>
                <w:color w:val="auto"/>
                <w:sz w:val="21"/>
                <w:szCs w:val="21"/>
                <w:highlight w:val="none"/>
              </w:rPr>
              <w:t>的损伤，可按照</w:t>
            </w:r>
            <w:r>
              <w:rPr>
                <w:rFonts w:hint="eastAsia" w:ascii="宋体" w:hAnsi="宋体" w:eastAsia="宋体" w:cs="宋体"/>
                <w:color w:val="auto"/>
                <w:sz w:val="21"/>
                <w:szCs w:val="21"/>
                <w:highlight w:val="none"/>
                <w:lang w:val="en-US" w:eastAsia="zh-CN" w:bidi="en-US"/>
              </w:rPr>
              <w:t>9.5.2</w:t>
            </w:r>
            <w:r>
              <w:rPr>
                <w:rFonts w:hint="eastAsia" w:ascii="宋体" w:hAnsi="宋体" w:eastAsia="宋体" w:cs="宋体"/>
                <w:color w:val="auto"/>
                <w:sz w:val="21"/>
                <w:szCs w:val="21"/>
                <w:highlight w:val="none"/>
              </w:rPr>
              <w:t>的规定贴补伤片，然后在修补处包覆一条热收缩带，包覆宽度应比补伤片的两边至少各大50</w:t>
            </w:r>
            <w:r>
              <w:rPr>
                <w:rFonts w:hint="eastAsia" w:ascii="宋体" w:hAnsi="宋体" w:eastAsia="宋体" w:cs="宋体"/>
                <w:color w:val="auto"/>
                <w:sz w:val="21"/>
                <w:szCs w:val="21"/>
                <w:highlight w:val="none"/>
                <w:lang w:val="en-US" w:eastAsia="zh-CN" w:bidi="en-US"/>
              </w:rPr>
              <w:t>mm</w:t>
            </w:r>
            <w:r>
              <w:rPr>
                <w:rFonts w:hint="eastAsia" w:ascii="宋体" w:hAnsi="宋体" w:eastAsia="宋体" w:cs="宋体"/>
                <w:color w:val="auto"/>
                <w:sz w:val="21"/>
                <w:szCs w:val="21"/>
                <w:highlight w:val="none"/>
                <w:vertAlign w:val="subscript"/>
                <w:lang w:val="en-US" w:eastAsia="zh-CN" w:bidi="en-US"/>
              </w:rPr>
              <w:t>0</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 xml:space="preserve">9.5.6 </w:t>
            </w:r>
            <w:r>
              <w:rPr>
                <w:rFonts w:hint="eastAsia" w:ascii="宋体" w:hAnsi="宋体" w:eastAsia="宋体" w:cs="宋体"/>
                <w:color w:val="auto"/>
                <w:sz w:val="21"/>
                <w:szCs w:val="21"/>
                <w:highlight w:val="none"/>
              </w:rPr>
              <w:t>补伤质量应检验外观、漏点及剥离强度等三项内容：</w:t>
            </w:r>
          </w:p>
          <w:p>
            <w:pPr>
              <w:pStyle w:val="115"/>
              <w:keepNext w:val="0"/>
              <w:keepLines w:val="0"/>
              <w:pageBreakBefore w:val="0"/>
              <w:tabs>
                <w:tab w:val="left" w:pos="850"/>
              </w:tabs>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lang w:val="en-US" w:eastAsia="zh-CN"/>
              </w:rPr>
            </w:pPr>
            <w:bookmarkStart w:id="4" w:name="bookmark51"/>
            <w:r>
              <w:rPr>
                <w:rFonts w:hint="eastAsia" w:ascii="宋体" w:hAnsi="宋体" w:eastAsia="宋体" w:cs="宋体"/>
                <w:color w:val="auto"/>
                <w:sz w:val="21"/>
                <w:szCs w:val="21"/>
                <w:highlight w:val="none"/>
                <w:lang w:val="en-US" w:eastAsia="zh-CN"/>
              </w:rPr>
              <w:t>a</w:t>
            </w:r>
            <w:bookmarkEnd w:id="4"/>
            <w:r>
              <w:rPr>
                <w:rFonts w:hint="eastAsia" w:ascii="宋体" w:hAnsi="宋体" w:eastAsia="宋体" w:cs="宋体"/>
                <w:color w:val="auto"/>
                <w:sz w:val="21"/>
                <w:szCs w:val="21"/>
                <w:highlight w:val="none"/>
                <w:lang w:val="en-US" w:eastAsia="zh-CN"/>
              </w:rPr>
              <w:t>）补伤后的外观应逐个检查，表面应平整、无皱折、无气泡、无烧焦碳化等现象；补伤片四周应粘结密封良好。不合格的应重补；</w:t>
            </w:r>
          </w:p>
          <w:p>
            <w:pPr>
              <w:pStyle w:val="115"/>
              <w:keepNext w:val="0"/>
              <w:keepLines w:val="0"/>
              <w:pageBreakBefore w:val="0"/>
              <w:tabs>
                <w:tab w:val="left" w:pos="850"/>
              </w:tabs>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lang w:val="en-US" w:eastAsia="zh-CN"/>
              </w:rPr>
            </w:pPr>
            <w:bookmarkStart w:id="5" w:name="bookmark52"/>
            <w:r>
              <w:rPr>
                <w:rFonts w:hint="eastAsia" w:ascii="宋体" w:hAnsi="宋体" w:eastAsia="宋体" w:cs="宋体"/>
                <w:color w:val="auto"/>
                <w:sz w:val="21"/>
                <w:szCs w:val="21"/>
                <w:highlight w:val="none"/>
                <w:lang w:val="en-US" w:eastAsia="zh-CN"/>
              </w:rPr>
              <w:t>b</w:t>
            </w:r>
            <w:bookmarkEnd w:id="5"/>
            <w:r>
              <w:rPr>
                <w:rFonts w:hint="eastAsia" w:ascii="宋体" w:hAnsi="宋体" w:eastAsia="宋体" w:cs="宋体"/>
                <w:color w:val="auto"/>
                <w:sz w:val="21"/>
                <w:szCs w:val="21"/>
                <w:highlight w:val="none"/>
                <w:lang w:val="en-US" w:eastAsia="zh-CN"/>
              </w:rPr>
              <w:t>）每一个补伤处均应用电火花检漏仪进行漏点检查，检漏电压为15kV。若不合格，应重新修补并检漏，直至合格；</w:t>
            </w:r>
            <w:bookmarkStart w:id="6" w:name="bookmark53"/>
          </w:p>
          <w:p>
            <w:pPr>
              <w:pStyle w:val="115"/>
              <w:keepNext w:val="0"/>
              <w:keepLines w:val="0"/>
              <w:pageBreakBefore w:val="0"/>
              <w:tabs>
                <w:tab w:val="left" w:pos="850"/>
              </w:tabs>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c</w:t>
            </w:r>
            <w:bookmarkEnd w:id="6"/>
            <w:r>
              <w:rPr>
                <w:rFonts w:hint="eastAsia" w:ascii="宋体" w:hAnsi="宋体" w:eastAsia="宋体" w:cs="宋体"/>
                <w:color w:val="auto"/>
                <w:sz w:val="21"/>
                <w:szCs w:val="21"/>
                <w:highlight w:val="none"/>
                <w:lang w:val="en-US" w:eastAsia="zh-CN"/>
              </w:rPr>
              <w:t>）采用补伤片补伤的剥离强度按附录K规定的方法进行检验，管体温度为15℃〜25℃时的剥离强度应不低于50N/cm。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r>
              <w:rPr>
                <w:rFonts w:hint="eastAsia" w:ascii="宋体" w:hAnsi="宋体" w:eastAsia="宋体" w:cs="宋体"/>
                <w:color w:val="auto"/>
                <w:spacing w:val="-6"/>
                <w:sz w:val="21"/>
                <w:szCs w:val="21"/>
                <w:highlight w:val="none"/>
              </w:rPr>
              <w:t>3.2.7.3</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管道防腐</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管道阴极保护应符合设计及相关标准的要求。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《埋地钢质管道阴极保护技术规范》GB/T21448-2017</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说明：强制电流系统所用之强制电源设备的种类、型号、性能和辅助阳极地床种类、布局、型号、性能及其它电气材料、防腐材料等应符合设计及现行有关规范的要求。</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 xml:space="preserve">9.1.1.1 </w:t>
            </w:r>
            <w:r>
              <w:rPr>
                <w:rFonts w:hint="eastAsia" w:ascii="宋体" w:hAnsi="宋体" w:eastAsia="宋体" w:cs="宋体"/>
                <w:color w:val="auto"/>
                <w:sz w:val="21"/>
                <w:szCs w:val="21"/>
                <w:highlight w:val="none"/>
              </w:rPr>
              <w:t>电源设备安放位置应符合设计要求，设备周围500</w:t>
            </w:r>
            <w:r>
              <w:rPr>
                <w:rFonts w:hint="eastAsia" w:ascii="宋体" w:hAnsi="宋体" w:eastAsia="宋体" w:cs="宋体"/>
                <w:color w:val="auto"/>
                <w:sz w:val="21"/>
                <w:szCs w:val="21"/>
                <w:highlight w:val="none"/>
                <w:lang w:val="en-US" w:eastAsia="zh-CN" w:bidi="en-US"/>
              </w:rPr>
              <w:t>mm</w:t>
            </w:r>
            <w:r>
              <w:rPr>
                <w:rFonts w:hint="eastAsia" w:ascii="宋体" w:hAnsi="宋体" w:eastAsia="宋体" w:cs="宋体"/>
                <w:color w:val="auto"/>
                <w:sz w:val="21"/>
                <w:szCs w:val="21"/>
                <w:highlight w:val="none"/>
              </w:rPr>
              <w:t>内不应有其他物体，应预留足够空间用于接线安装、检测与维护。</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 xml:space="preserve">9.1.1.2 </w:t>
            </w:r>
            <w:r>
              <w:rPr>
                <w:rFonts w:hint="eastAsia" w:ascii="宋体" w:hAnsi="宋体" w:eastAsia="宋体" w:cs="宋体"/>
                <w:color w:val="auto"/>
                <w:sz w:val="21"/>
                <w:szCs w:val="21"/>
                <w:highlight w:val="none"/>
              </w:rPr>
              <w:t>电源设备与阴极保护电缆的连接应符合设计要求，接线应正确，电气接触应导通良好，电缆应明确标识。</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9.1.2.1</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浅埋阳极地床</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施工前应检查阳极，阳极不应有损伤和裂纹，阳极接头应牢固密封完整，阳极电缆应完整无损坏，每根阳极电缆长度均应符合安装位置尺寸的要求</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并留有余量。</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9.1.2.2</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浅埋阳极地床的位置、阳极布局和阳极数量应符合设计要求。</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9.1.3.1</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深井阳极地床的安装施工应符合</w:t>
            </w:r>
            <w:r>
              <w:rPr>
                <w:rFonts w:hint="eastAsia" w:ascii="宋体" w:hAnsi="宋体" w:eastAsia="宋体" w:cs="宋体"/>
                <w:color w:val="auto"/>
                <w:sz w:val="21"/>
                <w:szCs w:val="21"/>
                <w:highlight w:val="none"/>
                <w:lang w:val="en-US" w:eastAsia="zh-CN" w:bidi="en-US"/>
              </w:rPr>
              <w:t>SY/T</w:t>
            </w:r>
            <w:r>
              <w:rPr>
                <w:rFonts w:hint="eastAsia" w:ascii="宋体" w:hAnsi="宋体" w:eastAsia="宋体" w:cs="宋体"/>
                <w:color w:val="auto"/>
                <w:sz w:val="21"/>
                <w:szCs w:val="21"/>
                <w:highlight w:val="none"/>
              </w:rPr>
              <w:t>0096的规定。</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9.1.3.2</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深井阳极地床</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安装过程中应保证电缆</w:t>
            </w:r>
            <w:r>
              <w:rPr>
                <w:rFonts w:hint="eastAsia" w:ascii="宋体" w:hAnsi="宋体" w:eastAsia="宋体" w:cs="宋体"/>
                <w:color w:val="auto"/>
                <w:sz w:val="21"/>
                <w:szCs w:val="21"/>
                <w:highlight w:val="none"/>
                <w:lang w:eastAsia="zh-CN"/>
              </w:rPr>
              <w:t>的松弛</w:t>
            </w:r>
            <w:r>
              <w:rPr>
                <w:rFonts w:hint="eastAsia" w:ascii="宋体" w:hAnsi="宋体" w:eastAsia="宋体" w:cs="宋体"/>
                <w:color w:val="auto"/>
                <w:sz w:val="21"/>
                <w:szCs w:val="21"/>
                <w:highlight w:val="none"/>
              </w:rPr>
              <w:t>度，电缆不应承重。</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说明：牺牲阳极系统所用之牺牲阳极的种类、型号、布局、数量及各种电气材料、防腐材料等应符合设计及现行有关规范的要求。</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 xml:space="preserve">6.5 </w:t>
            </w:r>
            <w:r>
              <w:rPr>
                <w:rFonts w:hint="eastAsia" w:ascii="宋体" w:hAnsi="宋体" w:eastAsia="宋体" w:cs="宋体"/>
                <w:color w:val="auto"/>
                <w:sz w:val="21"/>
                <w:szCs w:val="21"/>
                <w:highlight w:val="none"/>
              </w:rPr>
              <w:t>牺牲阳极填包料</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牺牲阳极的填包料由石膏粉、膨润土和工业硫酸钠组成，它们的质量百分比为</w:t>
            </w:r>
            <w:r>
              <w:rPr>
                <w:rFonts w:hint="eastAsia" w:ascii="宋体" w:hAnsi="宋体" w:eastAsia="宋体" w:cs="宋体"/>
                <w:color w:val="auto"/>
                <w:sz w:val="21"/>
                <w:szCs w:val="21"/>
                <w:highlight w:val="none"/>
                <w:lang w:val="en-US" w:eastAsia="zh-CN"/>
              </w:rPr>
              <w:t>75：20：5</w:t>
            </w:r>
            <w:r>
              <w:rPr>
                <w:rFonts w:hint="eastAsia" w:ascii="宋体" w:hAnsi="宋体" w:eastAsia="宋体" w:cs="宋体"/>
                <w:color w:val="auto"/>
                <w:sz w:val="21"/>
                <w:szCs w:val="21"/>
                <w:highlight w:val="none"/>
              </w:rPr>
              <w:t>。</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6.7.1.2</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棒状牺牲阳极埋设方式按轴向和径向分为立式和水平式两种。一般情况下，牺牲阳极宜距离管道外壁</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lang w:val="en-US" w:eastAsia="zh-CN" w:bidi="en-US"/>
              </w:rPr>
              <w:t>m</w:t>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val="en-US" w:eastAsia="zh-CN" w:bidi="en-US"/>
              </w:rPr>
              <w:t>m，</w:t>
            </w:r>
            <w:r>
              <w:rPr>
                <w:rFonts w:hint="eastAsia" w:ascii="宋体" w:hAnsi="宋体" w:eastAsia="宋体" w:cs="宋体"/>
                <w:color w:val="auto"/>
                <w:sz w:val="21"/>
                <w:szCs w:val="21"/>
                <w:highlight w:val="none"/>
              </w:rPr>
              <w:t>最小不宜小于</w:t>
            </w:r>
            <w:r>
              <w:rPr>
                <w:rFonts w:hint="eastAsia" w:ascii="宋体" w:hAnsi="宋体" w:eastAsia="宋体" w:cs="宋体"/>
                <w:color w:val="auto"/>
                <w:sz w:val="21"/>
                <w:szCs w:val="21"/>
                <w:highlight w:val="none"/>
                <w:lang w:val="en-US" w:eastAsia="zh-CN" w:bidi="en-US"/>
              </w:rPr>
              <w:t>0.5m，</w:t>
            </w:r>
            <w:r>
              <w:rPr>
                <w:rFonts w:hint="eastAsia" w:ascii="宋体" w:hAnsi="宋体" w:eastAsia="宋体" w:cs="宋体"/>
                <w:color w:val="auto"/>
                <w:sz w:val="21"/>
                <w:szCs w:val="21"/>
                <w:highlight w:val="none"/>
              </w:rPr>
              <w:t>埋设深度以阳极顶部距地面不小于1</w:t>
            </w:r>
            <w:r>
              <w:rPr>
                <w:rFonts w:hint="eastAsia" w:ascii="宋体" w:hAnsi="宋体" w:eastAsia="宋体" w:cs="宋体"/>
                <w:color w:val="auto"/>
                <w:sz w:val="21"/>
                <w:szCs w:val="21"/>
                <w:highlight w:val="none"/>
                <w:lang w:val="en-US" w:eastAsia="zh-CN" w:bidi="en-US"/>
              </w:rPr>
              <w:t>m</w:t>
            </w:r>
            <w:r>
              <w:rPr>
                <w:rFonts w:hint="eastAsia" w:ascii="宋体" w:hAnsi="宋体" w:eastAsia="宋体" w:cs="宋体"/>
                <w:color w:val="auto"/>
                <w:sz w:val="21"/>
                <w:szCs w:val="21"/>
                <w:highlight w:val="none"/>
              </w:rPr>
              <w:t>为宜。成组埋设时，阳极间距宜为2</w:t>
            </w:r>
            <w:r>
              <w:rPr>
                <w:rFonts w:hint="eastAsia" w:ascii="宋体" w:hAnsi="宋体" w:eastAsia="宋体" w:cs="宋体"/>
                <w:color w:val="auto"/>
                <w:sz w:val="21"/>
                <w:szCs w:val="21"/>
                <w:highlight w:val="none"/>
                <w:lang w:val="en-US" w:eastAsia="zh-CN" w:bidi="en-US"/>
              </w:rPr>
              <w:t>m</w:t>
            </w: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val="en-US" w:eastAsia="zh-CN" w:bidi="en-US"/>
              </w:rPr>
              <w:t>m</w:t>
            </w:r>
            <w:r>
              <w:rPr>
                <w:rFonts w:hint="eastAsia" w:ascii="宋体" w:hAnsi="宋体" w:eastAsia="宋体" w:cs="宋体"/>
                <w:color w:val="auto"/>
                <w:sz w:val="21"/>
                <w:szCs w:val="21"/>
                <w:highlight w:val="none"/>
                <w:vertAlign w:val="subscript"/>
                <w:lang w:val="en-US" w:eastAsia="zh-CN" w:bidi="en-US"/>
              </w:rPr>
              <w:t>0</w:t>
            </w:r>
          </w:p>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en-US"/>
              </w:rPr>
              <w:t xml:space="preserve">6.7.1.4 </w:t>
            </w:r>
            <w:r>
              <w:rPr>
                <w:rFonts w:hint="eastAsia" w:ascii="宋体" w:hAnsi="宋体" w:eastAsia="宋体" w:cs="宋体"/>
                <w:color w:val="auto"/>
                <w:sz w:val="21"/>
                <w:szCs w:val="21"/>
                <w:highlight w:val="none"/>
              </w:rPr>
              <w:t>棒状牺牲阳极布置时，阳极与管道之间不应存在其他金属构筑物。</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en-US" w:eastAsia="zh-CN" w:bidi="en-US"/>
              </w:rPr>
            </w:pPr>
            <w:r>
              <w:rPr>
                <w:rFonts w:hint="eastAsia" w:ascii="宋体" w:hAnsi="宋体" w:eastAsia="宋体" w:cs="宋体"/>
                <w:color w:val="auto"/>
                <w:sz w:val="21"/>
                <w:szCs w:val="21"/>
                <w:highlight w:val="none"/>
              </w:rPr>
              <w:t>9.1.4.2</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非预包装牺牲阳极施工时，应除去牺牲阳极的所有防水包装材料，阳极周围应填充填包料，并置于填包料中心位置，填包料应混合均匀并完整包覆阳极</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采用预包装牺牲阳极时，填包料应采用麻袋或棉质布袋包装，不应采用化纤类包装袋包装。牺牲阳极就位后应浇水浸泡。</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9.1.6.4电缆与管道焊接前应将焊点处打磨至露出金属光泽。焊点应牢固无尖锐突出，不应虚焊，焊后应清除焊渣，焊点应防腐密封。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3.2.8</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b/>
                <w:bCs/>
                <w:color w:val="auto"/>
                <w:spacing w:val="-6"/>
                <w:kern w:val="0"/>
                <w:sz w:val="21"/>
                <w:szCs w:val="21"/>
                <w:highlight w:val="none"/>
              </w:rPr>
            </w:pPr>
            <w:r>
              <w:rPr>
                <w:rFonts w:hint="eastAsia" w:ascii="宋体" w:hAnsi="宋体" w:eastAsia="宋体" w:cs="宋体"/>
                <w:b/>
                <w:bCs/>
                <w:color w:val="auto"/>
                <w:sz w:val="21"/>
                <w:szCs w:val="21"/>
                <w:highlight w:val="none"/>
              </w:rPr>
              <w:t>管道吹扫、清管、测径、试压、干燥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3.2.8.1</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管道吹扫、清管、测径、试压、干燥</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管道吹扫、清管、测径应符合设计和相关标准的要求。</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w:t>
            </w:r>
            <w:r>
              <w:rPr>
                <w:rFonts w:hint="eastAsia" w:ascii="宋体" w:hAnsi="宋体" w:eastAsia="宋体" w:cs="宋体"/>
                <w:color w:val="auto"/>
                <w:sz w:val="21"/>
                <w:szCs w:val="21"/>
                <w:highlight w:val="none"/>
                <w:lang w:eastAsia="zh-CN"/>
              </w:rPr>
              <w:t>GB/T</w:t>
            </w:r>
            <w:r>
              <w:rPr>
                <w:rFonts w:hint="eastAsia" w:ascii="宋体" w:hAnsi="宋体" w:eastAsia="宋体" w:cs="宋体"/>
                <w:color w:val="auto"/>
                <w:sz w:val="21"/>
                <w:szCs w:val="21"/>
                <w:highlight w:val="none"/>
              </w:rPr>
              <w:t>38942-2020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7.3.2.2 管道在吹扫和压力试验时应与无关系统采取隔离措施，与现已运行的燃气管道应加盲板断开，不应用阀门隔离。</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6.4.8.1 管道吹扫与清管应符合下列规定： </w:t>
            </w:r>
          </w:p>
          <w:p>
            <w:pPr>
              <w:pStyle w:val="2"/>
              <w:keepNext w:val="0"/>
              <w:keepLines w:val="0"/>
              <w:pageBreakBefore w:val="0"/>
              <w:kinsoku/>
              <w:wordWrap/>
              <w:overflowPunct/>
              <w:topLinePunct w:val="0"/>
              <w:autoSpaceDE/>
              <w:autoSpaceDN/>
              <w:bidi w:val="0"/>
              <w:spacing w:line="260" w:lineRule="atLeast"/>
              <w:ind w:left="0" w:leftChars="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a）球墨铸铁管道、聚乙烯管道和公称尺寸小于DN100或长度小于100m的钢质管道，可采用气体吹扫；公称尺寸大于或等于DN100的钢质管道，宜采用清管球（器）进行清管，管道直径应是同一规格，不同管径的管道应断开分别进行清管。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b）管道吹扫、清管前，应仔细检查管道支、吊架的牢固程度，对有异议的部位应进行加固。对不准许吹扫、清管的设备及管道应进行隔离。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e）管道吹扫、清管宜与管道试压充分结合进行。已吹扫、清管干净的管道组成件、装配管段或整个管道系统应及时采取封闭管口或充氮保护等措施防止再污染。 </w:t>
            </w:r>
          </w:p>
          <w:p>
            <w:pPr>
              <w:pStyle w:val="2"/>
              <w:keepNext w:val="0"/>
              <w:keepLines w:val="0"/>
              <w:pageBreakBefore w:val="0"/>
              <w:kinsoku/>
              <w:wordWrap/>
              <w:overflowPunct/>
              <w:topLinePunct w:val="0"/>
              <w:autoSpaceDE/>
              <w:autoSpaceDN/>
              <w:bidi w:val="0"/>
              <w:spacing w:line="260" w:lineRule="atLeast"/>
              <w:ind w:left="0" w:leftChars="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f）燃气管道压缩空气吹扫、等径管道清管球（器）清管时，压缩机出口端应安装油水分离器和过滤器；在对聚乙烯管道吹扫及试验时，进气口应采取冷却措施，确保管道进气口气体干燥，且其温度不应高于40℃；聚乙烯管道吹扫出口应设置一段钢制管道，且应静电接地。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6.4.8.2 管道气体吹扫应符合下列规定：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a）气体吹扫应符合下列要求： </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1）吹扫口应设在开阔地段并加固，吹扫时应设置安全区域，吹扫出口前不应站人； </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2）吹扫压力不得大于管道的设计压力； </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3）吹扫介质宜采用压缩空气，不应采用氧气和可燃性气体； </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4）吹扫合格设备复位后，不得再进行影响管内清洁的其他作业； </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5）吹扫出口宜设置快开盲板。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b）吹扫气体流速不宜小于20m/s，吹扫口与地面的夹角应在30°～45°，吹扫口管段与被吹扫管段应采取平缓过渡对焊，吹扫口直径应符合表29的规定。</w:t>
            </w:r>
          </w:p>
          <w:p>
            <w:pPr>
              <w:keepNext w:val="0"/>
              <w:keepLines w:val="0"/>
              <w:pageBreakBefore w:val="0"/>
              <w:widowControl/>
              <w:kinsoku/>
              <w:wordWrap/>
              <w:overflowPunct/>
              <w:topLinePunct w:val="0"/>
              <w:autoSpaceDE/>
              <w:autoSpaceDN/>
              <w:bidi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表29 吹扫口直径              </w:t>
            </w:r>
            <w:r>
              <w:rPr>
                <w:rFonts w:hint="eastAsia" w:ascii="宋体" w:hAnsi="宋体" w:eastAsia="宋体" w:cs="宋体"/>
                <w:color w:val="auto"/>
                <w:kern w:val="0"/>
                <w:sz w:val="21"/>
                <w:szCs w:val="21"/>
                <w:highlight w:val="none"/>
                <w:lang w:bidi="ar"/>
              </w:rPr>
              <w:t>单位为毫米</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85"/>
              <w:gridCol w:w="2715"/>
              <w:gridCol w:w="2715"/>
              <w:gridCol w:w="27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23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val="0"/>
                    <w:snapToGrid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末端管道公称直径DN</w:t>
                  </w:r>
                </w:p>
              </w:tc>
              <w:tc>
                <w:tcPr>
                  <w:tcW w:w="1253"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val="0"/>
                    <w:snapToGrid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DN＜150</w:t>
                  </w:r>
                </w:p>
              </w:tc>
              <w:tc>
                <w:tcPr>
                  <w:tcW w:w="1253"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val="0"/>
                    <w:snapToGrid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150≤DN≤300</w:t>
                  </w:r>
                </w:p>
              </w:tc>
              <w:tc>
                <w:tcPr>
                  <w:tcW w:w="1253"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val="0"/>
                    <w:snapToGrid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DN≥350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123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val="0"/>
                    <w:snapToGrid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吹扫口公称直径</w:t>
                  </w:r>
                </w:p>
              </w:tc>
              <w:tc>
                <w:tcPr>
                  <w:tcW w:w="1253"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val="0"/>
                    <w:snapToGrid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与管道同径</w:t>
                  </w:r>
                </w:p>
              </w:tc>
              <w:tc>
                <w:tcPr>
                  <w:tcW w:w="1253"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val="0"/>
                    <w:snapToGrid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150</w:t>
                  </w:r>
                </w:p>
              </w:tc>
              <w:tc>
                <w:tcPr>
                  <w:tcW w:w="1253"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val="0"/>
                    <w:snapToGrid w:val="0"/>
                    <w:spacing w:line="260" w:lineRule="atLeast"/>
                    <w:ind w:lef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250</w:t>
                  </w:r>
                </w:p>
              </w:tc>
            </w:tr>
          </w:tbl>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c）每次吹扫钢质管道的长度不宜超过500m，当管道长度超过500m时，宜分段吹扫。聚乙烯管道每次吹扫长度不宜大于1000m。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d）当吹扫出口目测排气无烟尘时，应在排气口设置白布或涂白漆木靶板检验，5min内靶上无铁锈、尘土等其他杂物为合格。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6.4.8.3 管道清管球（器）清管应符合下列规定：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a）燃气管道当采用清管球（器）清管时，分段试压前应进行清管球（器）清管，清管次数不应少于2次，分段清管的长度应根据分段试压长度确定。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b）清管应设临时清管球（器）收发装置，发射装置及接收装置应由发球筒、压力表、进气阀、放散阀、排污阀组成。临时清管球（器）收发装置首次使用前应进行压力试验，试验压力为管线设计压力的1.5倍，试压介质为洁净水，稳压1h，无压降、无泄漏为合格。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 xml:space="preserve">d）管线上有支管部分应在三通连接处设置挡栅，挡栅的规格以设计要求为准，宜采用与主管道内壁相同的弧度设置，且不得有毛刺、焊瘤等缺陷，以确保清管球（器）在管线中顺利通过。 </w:t>
            </w:r>
          </w:p>
          <w:p>
            <w:pPr>
              <w:keepNext w:val="0"/>
              <w:keepLines w:val="0"/>
              <w:pageBreakBefore w:val="0"/>
              <w:widowControl/>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bidi="ar"/>
              </w:rPr>
              <w:t xml:space="preserve">f）清管球（器）清管时，宜采用压缩空气推动清管球（器）运行，清管器运行时速度应控制在3Km/h～9Km/h，工作压力宜为0.05MPa～0.2MPa，如遇阻力可提高其工作压力，但最大压力不应超过设计压力。在地形起伏较大的地区，应设置背压控制清管球（器）运行速度。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g）清管球（器）清管时应及时检查清管效果，应将管道内的水、泥土、杂物清理干净。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12.2.2 管道吹扫应符合下列要求：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应按主管、支管、庭院管的顺序进行吹扫，吹扫出的脏物不得进入已合格的管道。</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吹扫管段内的调压器、阀门、孔板、过滤网、燃气表等设备不应参与吹扫，待吹扫合格后再安装复位。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《聚乙烯燃气管道工程技术标准》CJJ63-2018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en-US"/>
              </w:rPr>
              <w:t xml:space="preserve">7.2.3 </w:t>
            </w:r>
            <w:r>
              <w:rPr>
                <w:rFonts w:hint="eastAsia" w:ascii="宋体" w:hAnsi="宋体" w:eastAsia="宋体" w:cs="宋体"/>
                <w:color w:val="auto"/>
                <w:sz w:val="21"/>
                <w:szCs w:val="21"/>
                <w:highlight w:val="none"/>
                <w:lang w:bidi="zh-TW"/>
              </w:rPr>
              <w:t>聚乙烯燃气管道吹扫压力不应大于0</w:t>
            </w:r>
            <w:r>
              <w:rPr>
                <w:rFonts w:hint="eastAsia" w:ascii="宋体" w:hAnsi="宋体" w:eastAsia="宋体" w:cs="宋体"/>
                <w:color w:val="auto"/>
                <w:sz w:val="21"/>
                <w:szCs w:val="21"/>
                <w:highlight w:val="none"/>
                <w:lang w:bidi="en-US"/>
              </w:rPr>
              <w:t>.3MPa，</w:t>
            </w:r>
            <w:r>
              <w:rPr>
                <w:rFonts w:hint="eastAsia" w:ascii="宋体" w:hAnsi="宋体" w:eastAsia="宋体" w:cs="宋体"/>
                <w:color w:val="auto"/>
                <w:sz w:val="21"/>
                <w:szCs w:val="21"/>
                <w:highlight w:val="none"/>
                <w:lang w:bidi="zh-TW"/>
              </w:rPr>
              <w:t>气体流速不宜小于</w:t>
            </w:r>
            <w:r>
              <w:rPr>
                <w:rFonts w:hint="eastAsia" w:ascii="宋体" w:hAnsi="宋体" w:eastAsia="宋体" w:cs="宋体"/>
                <w:color w:val="auto"/>
                <w:sz w:val="21"/>
                <w:szCs w:val="21"/>
                <w:highlight w:val="none"/>
                <w:lang w:bidi="en-US"/>
              </w:rPr>
              <w:t>20m/s。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《油气长输管道工程施工及验收规范</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GB50369-2014</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14.2.3 线路截断阀不应参加清管。</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14.2.5 清管时的最大压力不得超过管材最小屈服强度的30%。</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en-US"/>
              </w:rPr>
              <w:t>14.2.</w:t>
            </w:r>
            <w:r>
              <w:rPr>
                <w:rFonts w:hint="eastAsia" w:ascii="宋体" w:hAnsi="宋体" w:eastAsia="宋体" w:cs="宋体"/>
                <w:color w:val="auto"/>
                <w:sz w:val="21"/>
                <w:szCs w:val="21"/>
                <w:highlight w:val="none"/>
              </w:rPr>
              <w:t>7 清管合格后应在试压前后分别进行测径。测径宜</w:t>
            </w:r>
            <w:r>
              <w:rPr>
                <w:rFonts w:hint="eastAsia" w:ascii="宋体" w:hAnsi="宋体" w:eastAsia="宋体" w:cs="宋体"/>
                <w:color w:val="auto"/>
                <w:sz w:val="21"/>
                <w:szCs w:val="21"/>
                <w:highlight w:val="none"/>
                <w:lang w:eastAsia="zh-CN"/>
              </w:rPr>
              <w:t>采用</w:t>
            </w:r>
            <w:r>
              <w:rPr>
                <w:rFonts w:hint="eastAsia" w:ascii="宋体" w:hAnsi="宋体" w:eastAsia="宋体" w:cs="宋体"/>
                <w:color w:val="auto"/>
                <w:sz w:val="21"/>
                <w:szCs w:val="21"/>
                <w:highlight w:val="none"/>
              </w:rPr>
              <w:t>铝质测径板.直径为试压段中最大壁厚钢管或者弯头内径的90%</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当测径板通过管段后，无变形、褶皱可判为合格。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3.2.8.2</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管道吹扫、清管、测径、试压、干燥</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管道压力试验（强度、气密）应符合设计和相关标准的要求。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公用管道》GB∕T 38942-2020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7.3.2.2 管道在吹扫和压力试验时应与无关系统采取隔离措施，与现已运行的燃气管道应加盲板断开，不应用阀门隔离。 </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7.3.2.7 管道严密性试验应符合下列规定：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a）严密性试验介质宜采用压缩空气，当强度试验以水为介质时，应将管内的水排除干净后再进行严密性试验；当强度试验以空气为介质时，应及时将管内压力降至严密性试验压力；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c）试验待稳压后，持续时间应为24h，每小时记录不应少于1次，当试验仪表采用电子压力记录仪时，试验开始与试验结束时相比压力无变化为合格。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12.1.2 燃气管道穿</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跨</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越大中型河流、铁路、二级以上公路、高速公路时，应单独进行试压。</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12.1.7 试验前应按设计图检查管道的所有阀门，试验段必须全部开启。</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12.3.3 管道试验用压力计</w:t>
            </w:r>
            <w:r>
              <w:rPr>
                <w:rFonts w:hint="eastAsia" w:ascii="宋体" w:hAnsi="宋体" w:eastAsia="宋体" w:cs="宋体"/>
                <w:color w:val="auto"/>
                <w:sz w:val="21"/>
                <w:szCs w:val="21"/>
                <w:highlight w:val="none"/>
                <w:lang w:eastAsia="zh-CN"/>
              </w:rPr>
              <w:t>及</w:t>
            </w:r>
            <w:r>
              <w:rPr>
                <w:rFonts w:hint="eastAsia" w:ascii="宋体" w:hAnsi="宋体" w:eastAsia="宋体" w:cs="宋体"/>
                <w:color w:val="auto"/>
                <w:sz w:val="21"/>
                <w:szCs w:val="21"/>
                <w:highlight w:val="none"/>
              </w:rPr>
              <w:t>温度记录仪表均不应少于两块，并应分别安装在试验管道的两端。</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12.4.6 所有未参加严密性试验的设备、仪表、管件，应在严密性试验合格后进行复位，然后按设计压力对系统升压，应采用发泡剂检查设备、仪表、管件及其与管道的连接处，不漏为合格。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《聚乙烯燃气管道工程技术标准》CJJ63-2018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en-US"/>
              </w:rPr>
              <w:t xml:space="preserve">7.3.3 </w:t>
            </w:r>
            <w:r>
              <w:rPr>
                <w:rFonts w:hint="eastAsia" w:ascii="宋体" w:hAnsi="宋体" w:eastAsia="宋体" w:cs="宋体"/>
                <w:color w:val="auto"/>
                <w:sz w:val="21"/>
                <w:szCs w:val="21"/>
                <w:highlight w:val="none"/>
                <w:lang w:bidi="zh-TW"/>
              </w:rPr>
              <w:t>聚乙烯燃气管道强度试验压力应为设计压力的</w:t>
            </w:r>
            <w:r>
              <w:rPr>
                <w:rFonts w:hint="eastAsia" w:ascii="宋体" w:hAnsi="宋体" w:eastAsia="宋体" w:cs="宋体"/>
                <w:color w:val="auto"/>
                <w:sz w:val="21"/>
                <w:szCs w:val="21"/>
                <w:highlight w:val="none"/>
                <w:lang w:bidi="en-US"/>
              </w:rPr>
              <w:t>1.5</w:t>
            </w:r>
            <w:r>
              <w:rPr>
                <w:rFonts w:hint="eastAsia" w:ascii="宋体" w:hAnsi="宋体" w:eastAsia="宋体" w:cs="宋体"/>
                <w:color w:val="auto"/>
                <w:sz w:val="21"/>
                <w:szCs w:val="21"/>
                <w:highlight w:val="none"/>
                <w:lang w:bidi="zh-TW"/>
              </w:rPr>
              <w:t>倍，且最低试验压力应符合下列规定：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en-US"/>
              </w:rPr>
              <w:t>1 SDR11</w:t>
            </w:r>
            <w:r>
              <w:rPr>
                <w:rFonts w:hint="eastAsia" w:ascii="宋体" w:hAnsi="宋体" w:eastAsia="宋体" w:cs="宋体"/>
                <w:color w:val="auto"/>
                <w:sz w:val="21"/>
                <w:szCs w:val="21"/>
                <w:highlight w:val="none"/>
                <w:lang w:bidi="zh-TW"/>
              </w:rPr>
              <w:t>聚乙烯管道不应小于</w:t>
            </w:r>
            <w:r>
              <w:rPr>
                <w:rFonts w:hint="eastAsia" w:ascii="宋体" w:hAnsi="宋体" w:eastAsia="宋体" w:cs="宋体"/>
                <w:color w:val="auto"/>
                <w:sz w:val="21"/>
                <w:szCs w:val="21"/>
                <w:highlight w:val="none"/>
                <w:lang w:bidi="en-US"/>
              </w:rPr>
              <w:t>0.40MPa。</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en-US"/>
              </w:rPr>
              <w:t>2 SDR17/SDR17</w:t>
            </w:r>
            <w:r>
              <w:rPr>
                <w:rFonts w:hint="eastAsia" w:ascii="宋体" w:hAnsi="宋体" w:eastAsia="宋体" w:cs="宋体"/>
                <w:color w:val="auto"/>
                <w:sz w:val="21"/>
                <w:szCs w:val="21"/>
                <w:highlight w:val="none"/>
                <w:lang w:eastAsia="zh-CN" w:bidi="en-US"/>
              </w:rPr>
              <w:t>.</w:t>
            </w:r>
            <w:r>
              <w:rPr>
                <w:rFonts w:hint="eastAsia" w:ascii="宋体" w:hAnsi="宋体" w:eastAsia="宋体" w:cs="宋体"/>
                <w:color w:val="auto"/>
                <w:sz w:val="21"/>
                <w:szCs w:val="21"/>
                <w:highlight w:val="none"/>
                <w:lang w:bidi="zh-TW"/>
              </w:rPr>
              <w:t>6聚乙烯管道不应小于</w:t>
            </w:r>
            <w:r>
              <w:rPr>
                <w:rFonts w:hint="eastAsia" w:ascii="宋体" w:hAnsi="宋体" w:eastAsia="宋体" w:cs="宋体"/>
                <w:color w:val="auto"/>
                <w:sz w:val="21"/>
                <w:szCs w:val="21"/>
                <w:highlight w:val="none"/>
                <w:lang w:bidi="en-US"/>
              </w:rPr>
              <w:t>0.20MPa。</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en-US"/>
              </w:rPr>
              <w:t xml:space="preserve">7.3.5 </w:t>
            </w:r>
            <w:r>
              <w:rPr>
                <w:rFonts w:hint="eastAsia" w:ascii="宋体" w:hAnsi="宋体" w:eastAsia="宋体" w:cs="宋体"/>
                <w:color w:val="auto"/>
                <w:sz w:val="21"/>
                <w:szCs w:val="21"/>
                <w:highlight w:val="none"/>
                <w:lang w:bidi="zh-TW"/>
              </w:rPr>
              <w:t>经分段试压合格的管段接头，外观检验合格后，可不再进行强度试验。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《油气长输管道工程施工及验收规范》GB50369-2014</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lang w:bidi="en-US"/>
              </w:rPr>
              <w:t xml:space="preserve">14.3.2 </w:t>
            </w:r>
            <w:r>
              <w:rPr>
                <w:rFonts w:hint="eastAsia" w:ascii="宋体" w:hAnsi="宋体" w:eastAsia="宋体" w:cs="宋体"/>
                <w:color w:val="auto"/>
                <w:sz w:val="21"/>
                <w:szCs w:val="21"/>
                <w:highlight w:val="none"/>
                <w:lang w:bidi="zh-TW"/>
              </w:rPr>
              <w:t>分段水压试验的管段长度不宜超过</w:t>
            </w:r>
            <w:r>
              <w:rPr>
                <w:rFonts w:hint="eastAsia" w:ascii="宋体" w:hAnsi="宋体" w:eastAsia="宋体" w:cs="宋体"/>
                <w:color w:val="auto"/>
                <w:sz w:val="21"/>
                <w:szCs w:val="21"/>
                <w:highlight w:val="none"/>
                <w:lang w:bidi="en-US"/>
              </w:rPr>
              <w:t>35km，</w:t>
            </w:r>
            <w:r>
              <w:rPr>
                <w:rFonts w:hint="eastAsia" w:ascii="宋体" w:hAnsi="宋体" w:eastAsia="宋体" w:cs="宋体"/>
                <w:color w:val="auto"/>
                <w:sz w:val="21"/>
                <w:szCs w:val="21"/>
                <w:highlight w:val="none"/>
                <w:lang w:bidi="zh-TW"/>
              </w:rPr>
              <w:t>应根据该段</w:t>
            </w:r>
            <w:r>
              <w:rPr>
                <w:rFonts w:hint="eastAsia" w:ascii="宋体" w:hAnsi="宋体" w:eastAsia="宋体" w:cs="宋体"/>
                <w:color w:val="auto"/>
                <w:sz w:val="21"/>
                <w:szCs w:val="21"/>
                <w:highlight w:val="none"/>
                <w:lang w:eastAsia="zh-CN" w:bidi="zh-TW"/>
              </w:rPr>
              <w:t>的</w:t>
            </w:r>
            <w:r>
              <w:rPr>
                <w:rFonts w:hint="eastAsia" w:ascii="宋体" w:hAnsi="宋体" w:eastAsia="宋体" w:cs="宋体"/>
                <w:color w:val="auto"/>
                <w:sz w:val="21"/>
                <w:szCs w:val="21"/>
                <w:highlight w:val="none"/>
                <w:lang w:bidi="zh-TW"/>
              </w:rPr>
              <w:t>纵断面图，计算管道低点的静水压力，核算管道低点试压时所承受的环向应力，其值不应大于管材最低屈服强度的</w:t>
            </w:r>
            <w:r>
              <w:rPr>
                <w:rFonts w:hint="eastAsia" w:ascii="宋体" w:hAnsi="宋体" w:eastAsia="宋体" w:cs="宋体"/>
                <w:color w:val="auto"/>
                <w:sz w:val="21"/>
                <w:szCs w:val="21"/>
                <w:highlight w:val="none"/>
                <w:lang w:bidi="en-US"/>
              </w:rPr>
              <w:t>0</w:t>
            </w:r>
            <w:r>
              <w:rPr>
                <w:rFonts w:hint="eastAsia" w:ascii="宋体" w:hAnsi="宋体" w:eastAsia="宋体" w:cs="宋体"/>
                <w:color w:val="auto"/>
                <w:sz w:val="21"/>
                <w:szCs w:val="21"/>
                <w:highlight w:val="none"/>
                <w:lang w:eastAsia="zh-CN" w:bidi="en-US"/>
              </w:rPr>
              <w:t>.</w:t>
            </w:r>
            <w:r>
              <w:rPr>
                <w:rFonts w:hint="eastAsia" w:ascii="宋体" w:hAnsi="宋体" w:eastAsia="宋体" w:cs="宋体"/>
                <w:color w:val="auto"/>
                <w:sz w:val="21"/>
                <w:szCs w:val="21"/>
                <w:highlight w:val="none"/>
                <w:lang w:bidi="zh-TW"/>
              </w:rPr>
              <w:t>9倍，对特殊地段经设计允许</w:t>
            </w:r>
            <w:r>
              <w:rPr>
                <w:rFonts w:hint="eastAsia" w:ascii="宋体" w:hAnsi="宋体" w:eastAsia="宋体" w:cs="宋体"/>
                <w:color w:val="auto"/>
                <w:sz w:val="21"/>
                <w:szCs w:val="21"/>
                <w:highlight w:val="none"/>
                <w:lang w:eastAsia="zh-CN" w:bidi="zh-TW"/>
              </w:rPr>
              <w:t>，</w:t>
            </w:r>
            <w:r>
              <w:rPr>
                <w:rFonts w:hint="eastAsia" w:ascii="宋体" w:hAnsi="宋体" w:eastAsia="宋体" w:cs="宋体"/>
                <w:color w:val="auto"/>
                <w:sz w:val="21"/>
                <w:szCs w:val="21"/>
                <w:highlight w:val="none"/>
                <w:lang w:bidi="zh-TW"/>
              </w:rPr>
              <w:t>其值最大不得大于</w:t>
            </w:r>
            <w:r>
              <w:rPr>
                <w:rFonts w:hint="eastAsia" w:ascii="宋体" w:hAnsi="宋体" w:eastAsia="宋体" w:cs="宋体"/>
                <w:color w:val="auto"/>
                <w:sz w:val="21"/>
                <w:szCs w:val="21"/>
                <w:highlight w:val="none"/>
                <w:lang w:bidi="en-US"/>
              </w:rPr>
              <w:t>0.</w:t>
            </w:r>
            <w:r>
              <w:rPr>
                <w:rFonts w:hint="eastAsia" w:ascii="宋体" w:hAnsi="宋体" w:eastAsia="宋体" w:cs="宋体"/>
                <w:color w:val="auto"/>
                <w:sz w:val="21"/>
                <w:szCs w:val="21"/>
                <w:highlight w:val="none"/>
                <w:lang w:bidi="zh-TW"/>
              </w:rPr>
              <w:t>95倍。试验压力值的测量应以管道</w:t>
            </w:r>
            <w:r>
              <w:rPr>
                <w:rFonts w:hint="eastAsia" w:ascii="宋体" w:hAnsi="宋体" w:eastAsia="宋体" w:cs="宋体"/>
                <w:color w:val="auto"/>
                <w:sz w:val="21"/>
                <w:szCs w:val="21"/>
                <w:highlight w:val="none"/>
                <w:lang w:eastAsia="zh-CN" w:bidi="zh-TW"/>
              </w:rPr>
              <w:t>最高点</w:t>
            </w:r>
            <w:r>
              <w:rPr>
                <w:rFonts w:hint="eastAsia" w:ascii="宋体" w:hAnsi="宋体" w:eastAsia="宋体" w:cs="宋体"/>
                <w:color w:val="auto"/>
                <w:sz w:val="21"/>
                <w:szCs w:val="21"/>
                <w:highlight w:val="none"/>
                <w:lang w:val="en-US" w:eastAsia="zh-CN" w:bidi="zh-TW"/>
              </w:rPr>
              <w:t>处</w:t>
            </w:r>
            <w:r>
              <w:rPr>
                <w:rFonts w:hint="eastAsia" w:ascii="宋体" w:hAnsi="宋体" w:eastAsia="宋体" w:cs="宋体"/>
                <w:color w:val="auto"/>
                <w:sz w:val="21"/>
                <w:szCs w:val="21"/>
                <w:highlight w:val="none"/>
                <w:lang w:bidi="zh-TW"/>
              </w:rPr>
              <w:t>的压力值为准，管道最低点的压力值应为试验压力与管道液位高差静压之和。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en-US"/>
              </w:rPr>
              <w:t xml:space="preserve">14.3.3 </w:t>
            </w:r>
            <w:r>
              <w:rPr>
                <w:rFonts w:hint="eastAsia" w:ascii="宋体" w:hAnsi="宋体" w:eastAsia="宋体" w:cs="宋体"/>
                <w:color w:val="auto"/>
                <w:sz w:val="21"/>
                <w:szCs w:val="21"/>
                <w:highlight w:val="none"/>
                <w:lang w:bidi="zh-TW"/>
              </w:rPr>
              <w:t>试压充水宜加入隔离球，并应在充水时采取背压措施，以防止空气存于管内，隔离球可在试压后取出。应避免在管线</w:t>
            </w:r>
            <w:r>
              <w:rPr>
                <w:rFonts w:hint="eastAsia" w:ascii="宋体" w:hAnsi="宋体" w:eastAsia="宋体" w:cs="宋体"/>
                <w:color w:val="auto"/>
                <w:sz w:val="21"/>
                <w:szCs w:val="21"/>
                <w:highlight w:val="none"/>
                <w:lang w:eastAsia="zh-CN" w:bidi="zh-TW"/>
              </w:rPr>
              <w:t>高</w:t>
            </w:r>
            <w:r>
              <w:rPr>
                <w:rFonts w:hint="eastAsia" w:ascii="宋体" w:hAnsi="宋体" w:eastAsia="宋体" w:cs="宋体"/>
                <w:color w:val="auto"/>
                <w:sz w:val="21"/>
                <w:szCs w:val="21"/>
                <w:highlight w:val="none"/>
                <w:lang w:val="en-US" w:eastAsia="zh-CN" w:bidi="zh-TW"/>
              </w:rPr>
              <w:t>处</w:t>
            </w:r>
            <w:r>
              <w:rPr>
                <w:rFonts w:hint="eastAsia" w:ascii="宋体" w:hAnsi="宋体" w:eastAsia="宋体" w:cs="宋体"/>
                <w:color w:val="auto"/>
                <w:sz w:val="21"/>
                <w:szCs w:val="21"/>
                <w:highlight w:val="none"/>
                <w:lang w:bidi="zh-TW"/>
              </w:rPr>
              <w:t>开孔排气。压力试验宜在24小时后进行，以缩小温度差异。</w:t>
            </w:r>
            <w:r>
              <w:rPr>
                <w:rFonts w:hint="eastAsia" w:ascii="宋体" w:hAnsi="宋体" w:eastAsia="宋体" w:cs="宋体"/>
                <w:color w:val="auto"/>
                <w:sz w:val="21"/>
                <w:szCs w:val="21"/>
                <w:highlight w:val="none"/>
                <w:lang w:bidi="zh-TW"/>
              </w:rPr>
              <w:br w:type="page"/>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3.2.8.3</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管道吹扫、清管、测径、试压、干燥</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管道干燥应符合设计和相关标准的要求。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《天然气管道、液化天然气站（厂）干燥施工技术规范》</w:t>
            </w:r>
            <w:r>
              <w:rPr>
                <w:rFonts w:hint="eastAsia" w:ascii="宋体" w:hAnsi="宋体" w:eastAsia="宋体" w:cs="宋体"/>
                <w:color w:val="auto"/>
                <w:sz w:val="21"/>
                <w:szCs w:val="21"/>
                <w:highlight w:val="none"/>
                <w:lang w:eastAsia="zh-CN"/>
              </w:rPr>
              <w:t>SY/T</w:t>
            </w:r>
            <w:r>
              <w:rPr>
                <w:rFonts w:hint="eastAsia" w:ascii="宋体" w:hAnsi="宋体" w:eastAsia="宋体" w:cs="宋体"/>
                <w:color w:val="auto"/>
                <w:sz w:val="21"/>
                <w:szCs w:val="21"/>
                <w:highlight w:val="none"/>
              </w:rPr>
              <w:t>4114-2016</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en-US"/>
              </w:rPr>
              <w:t xml:space="preserve">5.2.4 </w:t>
            </w:r>
            <w:r>
              <w:rPr>
                <w:rFonts w:hint="eastAsia" w:ascii="宋体" w:hAnsi="宋体" w:eastAsia="宋体" w:cs="宋体"/>
                <w:color w:val="auto"/>
                <w:sz w:val="21"/>
                <w:szCs w:val="21"/>
                <w:highlight w:val="none"/>
              </w:rPr>
              <w:t>管道干燥施工前，应对管道试压扫水结果进行确认，以连续两个泡沫清管器增重不大于</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bidi="en-US"/>
              </w:rPr>
              <w:t>1.5DN/1000</w:t>
            </w:r>
            <w:r>
              <w:rPr>
                <w:rFonts w:hint="eastAsia" w:ascii="宋体" w:hAnsi="宋体" w:eastAsia="宋体" w:cs="宋体"/>
                <w:color w:val="auto"/>
                <w:sz w:val="21"/>
                <w:szCs w:val="21"/>
                <w:highlight w:val="none"/>
                <w:lang w:eastAsia="zh-CN" w:bidi="en-US"/>
              </w:rPr>
              <w:t>）</w:t>
            </w:r>
            <w:r>
              <w:rPr>
                <w:rFonts w:hint="eastAsia" w:ascii="宋体" w:hAnsi="宋体" w:eastAsia="宋体" w:cs="宋体"/>
                <w:color w:val="auto"/>
                <w:sz w:val="21"/>
                <w:szCs w:val="21"/>
                <w:highlight w:val="none"/>
                <w:lang w:bidi="en-US"/>
              </w:rPr>
              <w:t>kg，</w:t>
            </w:r>
            <w:r>
              <w:rPr>
                <w:rFonts w:hint="eastAsia" w:ascii="宋体" w:hAnsi="宋体" w:eastAsia="宋体" w:cs="宋体"/>
                <w:color w:val="auto"/>
                <w:sz w:val="21"/>
                <w:szCs w:val="21"/>
                <w:highlight w:val="none"/>
              </w:rPr>
              <w:t>无游离水为合格。</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u w:val="single"/>
              </w:rPr>
              <w:t>采用干燥空气吹扫时</w:t>
            </w:r>
            <w:r>
              <w:rPr>
                <w:rFonts w:hint="eastAsia" w:ascii="宋体" w:hAnsi="宋体" w:eastAsia="宋体" w:cs="宋体"/>
                <w:color w:val="auto"/>
                <w:sz w:val="21"/>
                <w:szCs w:val="21"/>
                <w:highlight w:val="none"/>
              </w:rPr>
              <w:t>：</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 xml:space="preserve">5.3.2 </w:t>
            </w:r>
            <w:r>
              <w:rPr>
                <w:rFonts w:hint="eastAsia" w:ascii="宋体" w:hAnsi="宋体" w:eastAsia="宋体" w:cs="宋体"/>
                <w:color w:val="auto"/>
                <w:sz w:val="21"/>
                <w:szCs w:val="21"/>
                <w:highlight w:val="none"/>
              </w:rPr>
              <w:t>应用水露点仪检测管道末端出口气体的水露点，水露点达到</w:t>
            </w:r>
            <w:r>
              <w:rPr>
                <w:rFonts w:hint="eastAsia" w:ascii="宋体" w:hAnsi="宋体" w:eastAsia="宋体" w:cs="宋体"/>
                <w:color w:val="auto"/>
                <w:sz w:val="21"/>
                <w:szCs w:val="21"/>
                <w:highlight w:val="none"/>
                <w:lang w:val="en-US" w:eastAsia="zh-CN" w:bidi="en-US"/>
              </w:rPr>
              <w:t>0℃</w:t>
            </w:r>
            <w:r>
              <w:rPr>
                <w:rFonts w:hint="eastAsia" w:ascii="宋体" w:hAnsi="宋体" w:eastAsia="宋体" w:cs="宋体"/>
                <w:color w:val="auto"/>
                <w:sz w:val="21"/>
                <w:szCs w:val="21"/>
                <w:highlight w:val="none"/>
              </w:rPr>
              <w:t>后，应使用干空气对管道进行吹扫。</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5.3.3</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管道干燥末期，当管道</w:t>
            </w:r>
            <w:r>
              <w:rPr>
                <w:rFonts w:hint="eastAsia" w:ascii="宋体" w:hAnsi="宋体" w:eastAsia="宋体" w:cs="宋体"/>
                <w:color w:val="auto"/>
                <w:sz w:val="21"/>
                <w:szCs w:val="21"/>
                <w:highlight w:val="none"/>
                <w:lang w:eastAsia="zh-CN"/>
              </w:rPr>
              <w:t>出口处</w:t>
            </w:r>
            <w:r>
              <w:rPr>
                <w:rFonts w:hint="eastAsia" w:ascii="宋体" w:hAnsi="宋体" w:eastAsia="宋体" w:cs="宋体"/>
                <w:color w:val="auto"/>
                <w:sz w:val="21"/>
                <w:szCs w:val="21"/>
                <w:highlight w:val="none"/>
              </w:rPr>
              <w:t>的空气水露点达到设计要求后，继续使用水露点低于</w:t>
            </w:r>
            <w:r>
              <w:rPr>
                <w:rFonts w:hint="eastAsia" w:ascii="宋体" w:hAnsi="宋体" w:eastAsia="宋体" w:cs="宋体"/>
                <w:color w:val="auto"/>
                <w:sz w:val="21"/>
                <w:szCs w:val="21"/>
                <w:highlight w:val="none"/>
                <w:lang w:val="en-US" w:eastAsia="zh-CN" w:bidi="en-US"/>
              </w:rPr>
              <w:t>-40℃</w:t>
            </w:r>
            <w:r>
              <w:rPr>
                <w:rFonts w:hint="eastAsia" w:ascii="宋体" w:hAnsi="宋体" w:eastAsia="宋体" w:cs="宋体"/>
                <w:color w:val="auto"/>
                <w:sz w:val="21"/>
                <w:szCs w:val="21"/>
                <w:highlight w:val="none"/>
              </w:rPr>
              <w:t>的干空气对管道进行低压吹扫，直到管段后半部分被较低水露点的干空气完全置换，达到设计要求的水露点后，进行密闭试验。设计无要求时，水露点应达到</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lang w:val="en-US" w:eastAsia="zh-CN" w:bidi="en-US"/>
              </w:rPr>
              <w:t>20℃</w:t>
            </w:r>
            <w:r>
              <w:rPr>
                <w:rFonts w:hint="eastAsia" w:ascii="宋体" w:hAnsi="宋体" w:eastAsia="宋体" w:cs="宋体"/>
                <w:color w:val="auto"/>
                <w:sz w:val="21"/>
                <w:szCs w:val="21"/>
                <w:highlight w:val="none"/>
              </w:rPr>
              <w:t>。</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 xml:space="preserve">5.3.4 </w:t>
            </w:r>
            <w:r>
              <w:rPr>
                <w:rFonts w:hint="eastAsia" w:ascii="宋体" w:hAnsi="宋体" w:eastAsia="宋体" w:cs="宋体"/>
                <w:color w:val="auto"/>
                <w:sz w:val="21"/>
                <w:szCs w:val="21"/>
                <w:highlight w:val="none"/>
              </w:rPr>
              <w:t>密闭试验</w:t>
            </w:r>
            <w:r>
              <w:rPr>
                <w:rFonts w:hint="eastAsia" w:ascii="宋体" w:hAnsi="宋体" w:eastAsia="宋体" w:cs="宋体"/>
                <w:color w:val="auto"/>
                <w:sz w:val="21"/>
                <w:szCs w:val="21"/>
                <w:highlight w:val="none"/>
                <w:lang w:val="en-US" w:eastAsia="zh-CN" w:bidi="en-US"/>
              </w:rPr>
              <w:t>4h</w:t>
            </w:r>
            <w:r>
              <w:rPr>
                <w:rFonts w:hint="eastAsia" w:ascii="宋体" w:hAnsi="宋体" w:eastAsia="宋体" w:cs="宋体"/>
                <w:color w:val="auto"/>
                <w:sz w:val="21"/>
                <w:szCs w:val="21"/>
                <w:highlight w:val="none"/>
              </w:rPr>
              <w:t>后，在管道末端对水露点进行检查，管道内水露点升高不超过3℃</w:t>
            </w:r>
            <w:r>
              <w:rPr>
                <w:rFonts w:hint="eastAsia" w:ascii="宋体" w:hAnsi="宋体" w:eastAsia="宋体" w:cs="宋体"/>
                <w:color w:val="auto"/>
                <w:sz w:val="21"/>
                <w:szCs w:val="21"/>
                <w:highlight w:val="none"/>
                <w:lang w:val="en-US" w:eastAsia="zh-CN" w:bidi="en-US"/>
              </w:rPr>
              <w:t>，</w:t>
            </w:r>
            <w:r>
              <w:rPr>
                <w:rFonts w:hint="eastAsia" w:ascii="宋体" w:hAnsi="宋体" w:eastAsia="宋体" w:cs="宋体"/>
                <w:color w:val="auto"/>
                <w:sz w:val="21"/>
                <w:szCs w:val="21"/>
                <w:highlight w:val="none"/>
              </w:rPr>
              <w:t>且不高于设计要求的水露点为合格。</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u w:val="single"/>
                <w:lang w:eastAsia="zh-CN"/>
              </w:rPr>
              <w:t>采用真空法干燥时：</w:t>
            </w:r>
          </w:p>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bidi="en-US"/>
              </w:rPr>
              <w:t xml:space="preserve">6.3.3 </w:t>
            </w:r>
            <w:r>
              <w:rPr>
                <w:rFonts w:hint="eastAsia" w:ascii="宋体" w:hAnsi="宋体" w:eastAsia="宋体" w:cs="宋体"/>
                <w:color w:val="auto"/>
                <w:sz w:val="21"/>
                <w:szCs w:val="21"/>
                <w:highlight w:val="none"/>
              </w:rPr>
              <w:t>当管道内的压力降到设计水露点所对应的压力值时（见本规范附录</w:t>
            </w:r>
            <w:r>
              <w:rPr>
                <w:rFonts w:hint="eastAsia" w:ascii="宋体" w:hAnsi="宋体" w:eastAsia="宋体" w:cs="宋体"/>
                <w:color w:val="auto"/>
                <w:sz w:val="21"/>
                <w:szCs w:val="21"/>
                <w:highlight w:val="none"/>
                <w:lang w:val="en-US" w:eastAsia="zh-CN" w:bidi="en-US"/>
              </w:rPr>
              <w:t>B），</w:t>
            </w:r>
            <w:r>
              <w:rPr>
                <w:rFonts w:hint="eastAsia" w:ascii="宋体" w:hAnsi="宋体" w:eastAsia="宋体" w:cs="宋体"/>
                <w:color w:val="auto"/>
                <w:sz w:val="21"/>
                <w:szCs w:val="21"/>
                <w:highlight w:val="none"/>
              </w:rPr>
              <w:t>应关闭真空泵组，密闭</w:t>
            </w:r>
            <w:r>
              <w:rPr>
                <w:rFonts w:hint="eastAsia" w:ascii="宋体" w:hAnsi="宋体" w:eastAsia="宋体" w:cs="宋体"/>
                <w:color w:val="auto"/>
                <w:sz w:val="21"/>
                <w:szCs w:val="21"/>
                <w:highlight w:val="none"/>
                <w:lang w:val="en-US" w:eastAsia="zh-CN" w:bidi="en-US"/>
              </w:rPr>
              <w:t>24h，</w:t>
            </w:r>
            <w:r>
              <w:rPr>
                <w:rFonts w:hint="eastAsia" w:ascii="宋体" w:hAnsi="宋体" w:eastAsia="宋体" w:cs="宋体"/>
                <w:color w:val="auto"/>
                <w:sz w:val="21"/>
                <w:szCs w:val="21"/>
                <w:highlight w:val="none"/>
              </w:rPr>
              <w:t>观察管道内压力的变化，如压力变化值小于</w:t>
            </w:r>
            <w:r>
              <w:rPr>
                <w:rFonts w:hint="eastAsia" w:ascii="宋体" w:hAnsi="宋体" w:eastAsia="宋体" w:cs="宋体"/>
                <w:color w:val="auto"/>
                <w:sz w:val="21"/>
                <w:szCs w:val="21"/>
                <w:highlight w:val="none"/>
                <w:lang w:val="en-US" w:eastAsia="zh-CN" w:bidi="en-US"/>
              </w:rPr>
              <w:t>0.6kPa，</w:t>
            </w:r>
            <w:r>
              <w:rPr>
                <w:rFonts w:hint="eastAsia" w:ascii="宋体" w:hAnsi="宋体" w:eastAsia="宋体" w:cs="宋体"/>
                <w:color w:val="auto"/>
                <w:sz w:val="21"/>
                <w:szCs w:val="21"/>
                <w:highlight w:val="none"/>
              </w:rPr>
              <w:t>即为合格；否则，应继续进行抽真空干燥，直至合格。</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bidi="zh-TW"/>
              </w:rPr>
            </w:pPr>
            <w:r>
              <w:rPr>
                <w:rFonts w:hint="eastAsia" w:ascii="宋体" w:hAnsi="宋体" w:eastAsia="宋体" w:cs="宋体"/>
                <w:color w:val="auto"/>
                <w:sz w:val="21"/>
                <w:szCs w:val="21"/>
                <w:highlight w:val="none"/>
              </w:rPr>
              <w:t>6.4.1 在干燥合格后，应向管道内注入水露点不低于</w:t>
            </w:r>
            <w:r>
              <w:rPr>
                <w:rFonts w:hint="eastAsia" w:ascii="宋体" w:hAnsi="宋体" w:eastAsia="宋体" w:cs="宋体"/>
                <w:color w:val="auto"/>
                <w:sz w:val="21"/>
                <w:szCs w:val="21"/>
                <w:highlight w:val="none"/>
                <w:lang w:bidi="en-US"/>
              </w:rPr>
              <w:t>-40C、</w:t>
            </w:r>
            <w:r>
              <w:rPr>
                <w:rFonts w:hint="eastAsia" w:ascii="宋体" w:hAnsi="宋体" w:eastAsia="宋体" w:cs="宋体"/>
                <w:color w:val="auto"/>
                <w:sz w:val="21"/>
                <w:szCs w:val="21"/>
                <w:highlight w:val="none"/>
              </w:rPr>
              <w:t>压力为</w:t>
            </w:r>
            <w:r>
              <w:rPr>
                <w:rFonts w:hint="eastAsia" w:ascii="宋体" w:hAnsi="宋体" w:eastAsia="宋体" w:cs="宋体"/>
                <w:color w:val="auto"/>
                <w:sz w:val="21"/>
                <w:szCs w:val="21"/>
                <w:highlight w:val="none"/>
                <w:lang w:bidi="en-US"/>
              </w:rPr>
              <w:t>50kPa~70kPa</w:t>
            </w:r>
            <w:r>
              <w:rPr>
                <w:rFonts w:hint="eastAsia" w:ascii="宋体" w:hAnsi="宋体" w:eastAsia="宋体" w:cs="宋体"/>
                <w:color w:val="auto"/>
                <w:sz w:val="21"/>
                <w:szCs w:val="21"/>
                <w:highlight w:val="none"/>
              </w:rPr>
              <w:t>的干空气或氮气，保持管道密闭，并应对管道进行密封和标识。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3.2.9</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管道标志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pacing w:val="-6"/>
                <w:sz w:val="21"/>
                <w:szCs w:val="21"/>
                <w:highlight w:val="none"/>
              </w:rPr>
            </w:pPr>
            <w:r>
              <w:rPr>
                <w:rFonts w:hint="eastAsia" w:ascii="宋体" w:hAnsi="宋体" w:eastAsia="宋体" w:cs="宋体"/>
                <w:color w:val="auto"/>
                <w:spacing w:val="-6"/>
                <w:sz w:val="21"/>
                <w:szCs w:val="21"/>
                <w:highlight w:val="none"/>
              </w:rPr>
              <w:t>3.2.9.1</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管道标志</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管道示踪装置、警示装置、地面标志的敷设应符合设计及相关标准的要求。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《燃气工程项目规范》GB55009-2021</w:t>
            </w:r>
          </w:p>
        </w:tc>
        <w:tc>
          <w:tcPr>
            <w:tcW w:w="11060" w:type="dxa"/>
            <w:vAlign w:val="center"/>
          </w:tcPr>
          <w:p>
            <w:pPr>
              <w:pStyle w:val="115"/>
              <w:keepNext w:val="0"/>
              <w:keepLines w:val="0"/>
              <w:pageBreakBefore w:val="0"/>
              <w:kinsoku/>
              <w:wordWrap/>
              <w:overflowPunct/>
              <w:topLinePunct w:val="0"/>
              <w:autoSpaceDE/>
              <w:autoSpaceDN/>
              <w:bidi w:val="0"/>
              <w:spacing w:line="260" w:lineRule="atLeast"/>
              <w:ind w:left="0" w:firstLine="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5.1.28 </w:t>
            </w:r>
            <w:r>
              <w:rPr>
                <w:rFonts w:hint="eastAsia" w:ascii="宋体" w:hAnsi="宋体" w:eastAsia="宋体" w:cs="宋体"/>
                <w:color w:val="auto"/>
                <w:sz w:val="21"/>
                <w:szCs w:val="21"/>
                <w:highlight w:val="none"/>
              </w:rPr>
              <w:t>输配管道沿线应设置管道标志。管道标志毁损或标志不清的，应及时修复或更新。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《压力管道规范 公用管道》GB∕T 38942-2020</w:t>
            </w:r>
          </w:p>
        </w:tc>
        <w:tc>
          <w:tcPr>
            <w:tcW w:w="11060" w:type="dxa"/>
            <w:vAlign w:val="center"/>
          </w:tcPr>
          <w:p>
            <w:pPr>
              <w:keepNext w:val="0"/>
              <w:keepLines w:val="0"/>
              <w:pageBreakBefore w:val="0"/>
              <w:widowControl/>
              <w:kinsoku/>
              <w:wordWrap/>
              <w:overflowPunct/>
              <w:topLinePunct w:val="0"/>
              <w:autoSpaceDE/>
              <w:autoSpaceDN/>
              <w:bidi w:val="0"/>
              <w:spacing w:line="260" w:lineRule="atLeast"/>
              <w:ind w:left="0"/>
              <w:jc w:val="left"/>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bidi="ar"/>
              </w:rPr>
              <w:t>5.1.3.3.17 埋地管道沿线应设置里程桩、转角桩、交叉桩和警示牌等永久性标志，并应符合CJJ/T153的有关规定。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6.4.6.11 埋设燃气管道的沿线应连续敷设警示带（板）。警示带（板）敷设前应将敷设面压实，并平整地敷设在管道的正上方，距管顶的距离宜为300mm～500mm，不得敷设在路基和路面里。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2.6.2 路面标志应设置在燃气管道的正上方，并能正确、明显地指示管道的走向和地下设施。设置位置应为管道转弯处、三通、四通处、管道末端等，直线管段路面标志的设置间隔不宜大于200m。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《聚乙烯燃气管道工程技术标准》CJJ63-2018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4.1.4 设计压力大于0.4MPa的聚乙烯燃气管道上方应设置保护板，保护板上应具有警示标识，设置保护板的聚乙烯燃气管道，可不敷设警示带。</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6.3.4 示踪线、地面标志、警示带、保护板的敷设和设置应符合下列规定：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示踪线应敷设在聚乙烯燃气管道的正上方：并应有良好的导电性和有效的电气连接，示踪线上应设置信号源井。</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4 </w:t>
            </w:r>
            <w:r>
              <w:rPr>
                <w:rFonts w:hint="eastAsia" w:ascii="宋体" w:hAnsi="宋体" w:eastAsia="宋体" w:cs="宋体"/>
                <w:color w:val="auto"/>
                <w:sz w:val="21"/>
                <w:szCs w:val="21"/>
                <w:highlight w:val="none"/>
              </w:rPr>
              <w:t>保护板应有足够的强度，且上面应有明显的警示标识；</w:t>
            </w:r>
            <w:r>
              <w:rPr>
                <w:rFonts w:hint="eastAsia" w:ascii="宋体" w:hAnsi="宋体" w:eastAsia="宋体" w:cs="宋体"/>
                <w:color w:val="auto"/>
                <w:sz w:val="21"/>
                <w:szCs w:val="21"/>
                <w:highlight w:val="none"/>
              </w:rPr>
              <w:t>保护板宜敷设在管道上方距管顶大于200mm、距地面300mm〜500mm处，但不得敷设在路面结构层内。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《油气长输管道工程施工及验收规范</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GB50369-2014</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6.3.1 里程桩、转角桩、标志桩应进行检查验收，表面应光滑平整，无缺棱掉角，尺寸允许偏差应为±10mm，混凝土强度应达到设计要求。油漆涂刷应均匀一致。埋设位置和深度应符合设计要求。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《城镇燃气管道穿跨越工程技术规程》</w:t>
            </w:r>
            <w:r>
              <w:rPr>
                <w:rFonts w:hint="eastAsia" w:ascii="宋体" w:hAnsi="宋体" w:eastAsia="宋体" w:cs="宋体"/>
                <w:color w:val="auto"/>
                <w:sz w:val="21"/>
                <w:szCs w:val="21"/>
                <w:highlight w:val="none"/>
                <w:lang w:eastAsia="zh-CN"/>
              </w:rPr>
              <w:t>CJJ/T</w:t>
            </w:r>
            <w:r>
              <w:rPr>
                <w:rFonts w:hint="eastAsia" w:ascii="宋体" w:hAnsi="宋体" w:eastAsia="宋体" w:cs="宋体"/>
                <w:color w:val="auto"/>
                <w:sz w:val="21"/>
                <w:szCs w:val="21"/>
                <w:highlight w:val="none"/>
              </w:rPr>
              <w:t>250-2016</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7.1.3 跨越工程完成后，应在跨越的起点、终点位置设置标志桩，并应注明跨越管道的名称、规格等。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b/>
                <w:bCs/>
                <w:color w:val="auto"/>
                <w:spacing w:val="-6"/>
                <w:kern w:val="0"/>
                <w:sz w:val="21"/>
                <w:szCs w:val="21"/>
                <w:highlight w:val="none"/>
                <w:lang w:val="en-US" w:eastAsia="zh-CN"/>
              </w:rPr>
            </w:pPr>
            <w:r>
              <w:rPr>
                <w:rFonts w:hint="eastAsia" w:ascii="宋体" w:hAnsi="宋体" w:eastAsia="宋体" w:cs="宋体"/>
                <w:b/>
                <w:bCs/>
                <w:color w:val="auto"/>
                <w:spacing w:val="-6"/>
                <w:kern w:val="0"/>
                <w:sz w:val="21"/>
                <w:szCs w:val="21"/>
                <w:highlight w:val="none"/>
                <w:lang w:val="en-US" w:eastAsia="zh-CN"/>
              </w:rPr>
              <w:t>3.2.10</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b/>
                <w:bCs/>
                <w:color w:val="auto"/>
                <w:spacing w:val="-6"/>
                <w:kern w:val="0"/>
                <w:sz w:val="21"/>
                <w:szCs w:val="21"/>
                <w:highlight w:val="none"/>
                <w:lang w:val="en-US" w:eastAsia="zh-CN"/>
              </w:rPr>
              <w:t>调压设施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3.2.</w:t>
            </w:r>
            <w:r>
              <w:rPr>
                <w:rFonts w:hint="eastAsia" w:ascii="宋体" w:hAnsi="宋体" w:eastAsia="宋体" w:cs="宋体"/>
                <w:color w:val="auto"/>
                <w:sz w:val="21"/>
                <w:szCs w:val="21"/>
                <w:highlight w:val="none"/>
                <w:lang w:val="en-US" w:eastAsia="zh-CN"/>
              </w:rPr>
              <w:t>10.1</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调压设施</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调压</w:t>
            </w:r>
            <w:r>
              <w:rPr>
                <w:rFonts w:hint="eastAsia" w:ascii="宋体" w:hAnsi="宋体" w:eastAsia="宋体" w:cs="宋体"/>
                <w:color w:val="auto"/>
                <w:sz w:val="21"/>
                <w:szCs w:val="21"/>
                <w:highlight w:val="none"/>
                <w:lang w:val="en-US" w:eastAsia="zh-CN"/>
              </w:rPr>
              <w:t>设施的设置</w:t>
            </w:r>
            <w:r>
              <w:rPr>
                <w:rFonts w:hint="eastAsia" w:ascii="宋体" w:hAnsi="宋体" w:eastAsia="宋体" w:cs="宋体"/>
                <w:color w:val="auto"/>
                <w:sz w:val="21"/>
                <w:szCs w:val="21"/>
                <w:highlight w:val="none"/>
              </w:rPr>
              <w:t>应符合设计及相关标准的要求。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《城镇燃气设计规范》GB50028-2006（2020版）</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6.6.4 地上调压箱和调压柜的设置应符合下列要求：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 调压箱（或柜）的安装位置应能满足调压器安全装置的安装要求。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4 调压箱（或柜）的安装位置应使调压箱（或柜）不被碰撞，在开箱（或柜）作业时不影响交通。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《燃气工程项目规范》GB55009-2021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5.2.1 不同压力级别的输配管道之间应通过调压装置连接。</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5.2.3 进口压力为次高压及以上的区域调压装置应设置在室外独立的区域、单独的建筑物或箱体内。</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5.2.7 调压设施周围应设置防侵入的围护结构。调压设施范围内未经许可的人员不得进入。在易于出现较高侵入危险的区域，应对站点增加安全巡检次数或设置侵入探测设备。</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5.2.8 调压设施周围的围护结构上应设置禁止吸烟和严禁动用明火的明显标志。无人值守的调压设施应清晰地标出方便公众联系的方式。</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5.2.10 露天设置的调压装置应采取防止外部侵入的措施，并应与边界围护结构保持可防止外部侵入的距离。</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5.2.11 设置调压装置的建筑物和容积大于1.5m</w:t>
            </w:r>
            <w:r>
              <w:rPr>
                <w:rFonts w:hint="eastAsia" w:ascii="宋体" w:hAnsi="宋体" w:eastAsia="宋体" w:cs="宋体"/>
                <w:color w:val="auto"/>
                <w:sz w:val="21"/>
                <w:szCs w:val="21"/>
                <w:highlight w:val="none"/>
                <w:vertAlign w:val="superscript"/>
                <w:lang w:val="en-US" w:eastAsia="zh-CN"/>
              </w:rPr>
              <w:t>3</w:t>
            </w:r>
            <w:r>
              <w:rPr>
                <w:rFonts w:hint="eastAsia" w:ascii="宋体" w:hAnsi="宋体" w:eastAsia="宋体" w:cs="宋体"/>
                <w:color w:val="auto"/>
                <w:sz w:val="21"/>
                <w:szCs w:val="21"/>
                <w:highlight w:val="none"/>
                <w:lang w:val="en-US" w:eastAsia="zh-CN"/>
              </w:rPr>
              <w:t>的调压箱应具有泄压措施。</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5.2.12 调压站、调压箱、专用调压装置的室外或箱体外进口管道上应设置切断阀门。高压及高压以上的调压站、调压箱、专用调压装置的室外或箱体外出口管道上应设置切断阀门。阀门至调压站、调压箱、专用调压装置的室外或箱体外的距离应满足应急操作的要求。</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5.2.17 燃气调压站的电气、仪表设备应根据爆炸危险区域进行选型和安装，并应设置过电压保护和雷击保护装置。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rPr>
              <w:t>3.2.1</w:t>
            </w:r>
            <w:r>
              <w:rPr>
                <w:rFonts w:hint="eastAsia" w:ascii="宋体" w:hAnsi="宋体" w:eastAsia="宋体" w:cs="宋体"/>
                <w:b/>
                <w:bCs/>
                <w:color w:val="auto"/>
                <w:sz w:val="21"/>
                <w:szCs w:val="21"/>
                <w:highlight w:val="none"/>
                <w:lang w:val="en-US" w:eastAsia="zh-CN"/>
              </w:rPr>
              <w:t>1</w:t>
            </w:r>
          </w:p>
        </w:tc>
        <w:tc>
          <w:tcPr>
            <w:tcW w:w="20347" w:type="dxa"/>
            <w:gridSpan w:val="5"/>
            <w:vAlign w:val="center"/>
          </w:tcPr>
          <w:p>
            <w:pPr>
              <w:keepNext w:val="0"/>
              <w:keepLines w:val="0"/>
              <w:pageBreakBefore w:val="0"/>
              <w:widowControl/>
              <w:kinsoku/>
              <w:wordWrap/>
              <w:overflowPunct/>
              <w:topLinePunct w:val="0"/>
              <w:autoSpaceDE/>
              <w:autoSpaceDN/>
              <w:bidi w:val="0"/>
              <w:spacing w:line="260" w:lineRule="atLeast"/>
              <w:ind w:left="0"/>
              <w:rPr>
                <w:rFonts w:hint="eastAsia" w:ascii="宋体" w:hAnsi="宋体" w:eastAsia="宋体" w:cs="宋体"/>
                <w:b/>
                <w:bCs/>
                <w:color w:val="auto"/>
                <w:spacing w:val="-6"/>
                <w:kern w:val="0"/>
                <w:sz w:val="21"/>
                <w:szCs w:val="21"/>
                <w:highlight w:val="none"/>
              </w:rPr>
            </w:pPr>
            <w:r>
              <w:rPr>
                <w:rFonts w:hint="eastAsia" w:ascii="宋体" w:hAnsi="宋体" w:eastAsia="宋体" w:cs="宋体"/>
                <w:b/>
                <w:bCs/>
                <w:color w:val="auto"/>
                <w:spacing w:val="-6"/>
                <w:kern w:val="0"/>
                <w:sz w:val="21"/>
                <w:szCs w:val="21"/>
                <w:highlight w:val="none"/>
              </w:rPr>
              <w:t>用户管道（用户燃气计量表前）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.1</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用户管道（用户燃气计量表前）</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一般要求。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《城镇燃气室内工程施工与质量验收规范》CJJ94-2009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4.1.3 在燃气管道安装过程中，未经原建筑设计单位的书面同意，不得在承重的梁、柱和结构缝上开孔，不得损坏建筑物的结构和防火性能。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.2</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用户管道（用户燃气计量表前）</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当用户管道（用户燃气计量表前）穿越管沟、建筑物基础、墙和楼板时应符合设计及相关标准的要求。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《城镇燃气室内工程施工与质量验收规范》CJJ94-2009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4.1.4 当燃气管道穿越管沟、建筑物基础、墙和楼板时应符合下列要求：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燃气管道必须敷设于套管中，且宜与套管同轴；</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套管内的燃气管道不得设有任何形式的连接接头（不含纵向或螺旋焊缝及经无损检测合格的焊接接头）；</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套管与燃气管道之间的间隙应采用密封性能良好的柔性防腐、防水材料填实，套管与建筑物之间的间隙应用防水材料填实。</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4.1.6 燃气管道穿墙套管的两端应与墙面齐平；穿楼板套管的上端宜高于最终形成的地面5cm，下端应与楼板底齐平。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.3</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用户管道（用户燃气计量表前）</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表前阀的</w:t>
            </w:r>
            <w:r>
              <w:rPr>
                <w:rFonts w:hint="eastAsia" w:ascii="宋体" w:hAnsi="宋体" w:eastAsia="宋体" w:cs="宋体"/>
                <w:color w:val="auto"/>
                <w:sz w:val="21"/>
                <w:szCs w:val="21"/>
                <w:highlight w:val="none"/>
              </w:rPr>
              <w:t>安装应符合设计及相关标准的要求。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《城镇燃气室内工程施工与质量验收规范》CJJ94-2009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4.1.7 阀门的安装应符合下列要求：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阀门宜有开关指示标识，对有方向性要求的阀门，必须按规定方向安装；</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 阀门应在关闭状态下安装。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.4</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用户管道（用户燃气计量表前）</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当用户管道（用户燃气计量表前）采用地下引入时，其安装应符合设计及相关标准的要求。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《城镇燃气室内工程施工与质量验收规范》CJJ94-2009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4.2.3 当引入管埋地部分与室外埋地PE管相连时，其连接位置距建筑物基础不宜小</w:t>
            </w:r>
            <w:r>
              <w:rPr>
                <w:rFonts w:hint="eastAsia" w:ascii="宋体" w:hAnsi="宋体" w:eastAsia="宋体" w:cs="宋体"/>
                <w:color w:val="auto"/>
                <w:sz w:val="21"/>
                <w:szCs w:val="21"/>
                <w:highlight w:val="none"/>
                <w:lang w:eastAsia="zh-CN"/>
              </w:rPr>
              <w:t>于</w:t>
            </w:r>
            <w:r>
              <w:rPr>
                <w:rFonts w:hint="eastAsia" w:ascii="宋体" w:hAnsi="宋体" w:eastAsia="宋体" w:cs="宋体"/>
                <w:color w:val="auto"/>
                <w:sz w:val="21"/>
                <w:szCs w:val="21"/>
                <w:highlight w:val="none"/>
              </w:rPr>
              <w:t>0.5m，且应采用钢塑焊接转换接头。当采用法兰转换接头时，应对法兰及其紧固件的周围死角和空隙部分采用防腐胶泥填充进行过渡，进行防腐层施工前胶泥应干实。防腐层的种类和防腐等级应符合设计文件要求，接头钢质部分的防腐等级不应低于管道的防腐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.5</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用户管道（用户燃气计量表前）</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当用户管道（用户燃气计量表前）采用地上引入时，其安装应符合设计及相关标准的要求。</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《城镇燃气室内工程施工与质量验收规范》CJJ94-2009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4.2.5 当引入管采用地上引入时，应符合下列规定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引入管与建筑物外墙之间的净距应便于安装和维修，宜为0.10～0.15 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4</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rPr>
              <w:t>质量管理资料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4.1</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rPr>
              <w:t>建筑材料进场检验资料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4.1.1</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建筑材料进场检验资料</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进场材料：检查产品合格证、出厂检验报告和进场复验报告。</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《燃气工程项目规范》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55009-2021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2.2.3 燃气设施所使用的材料和设备应满足节能环保及系统介质特性、功能需求、外部环境、设计条件的要求。设备、管道及附件的压力等级不应小于系统设计压力。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1.0.6 工程施工所用设备、管道组成件等，应符合国家现行有关产品标准的规定，且必须具有生产厂质量检验部门的产品合格文件。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4.1.2</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建筑材料进场检验资料</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检测单位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防腐原材料：检查质量证明文件、说明书，抽样检验报告（必要时）。</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4.0.4 防腐前应对防腐原材料进行检查，有下列情况之一者，不得使用：</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无出厂质量证明文件或检验证明；</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出厂质量证明书的数据不全或对数据有怀疑，且未经复验或复验后不合格；</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无说明书、生产日期和储存有效期。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4.1.3</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建筑材料进场检验资料</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检测单位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埋地钢管：检查质量证明文件、低温冲击韧性试验报告（设计有要求时）。</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5.1.2 设计文件要求进行低温冲击韧性试验的材料，供货方应提供低温冲击韧性试验结果的文件，否则应按现行国家标准《金属低温冲击试验法》</w:t>
            </w:r>
            <w:r>
              <w:rPr>
                <w:rFonts w:hint="eastAsia" w:ascii="宋体" w:hAnsi="宋体" w:eastAsia="宋体" w:cs="宋体"/>
                <w:color w:val="auto"/>
                <w:sz w:val="21"/>
                <w:szCs w:val="21"/>
                <w:highlight w:val="none"/>
                <w:lang w:eastAsia="zh-CN"/>
              </w:rPr>
              <w:t>GB/T</w:t>
            </w:r>
            <w:r>
              <w:rPr>
                <w:rFonts w:hint="eastAsia" w:ascii="宋体" w:hAnsi="宋体" w:eastAsia="宋体" w:cs="宋体"/>
                <w:color w:val="auto"/>
                <w:sz w:val="21"/>
                <w:szCs w:val="21"/>
                <w:highlight w:val="none"/>
              </w:rPr>
              <w:t>229的要求进行试验，其指标不得低于规定值的下限。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4.1.4</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建筑材料进场检验资料</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检测单位</w:t>
            </w:r>
          </w:p>
        </w:tc>
        <w:tc>
          <w:tcPr>
            <w:tcW w:w="2882" w:type="dxa"/>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高强度螺栓、螺母：检查质量证明文件和抽样检验报告。</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5.3.2 设计压力大于或等于1.6MPa的管道使用的高强度螺栓、螺母应按以下规定进行检查：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螺栓、螺母应每批各取2个进行硬度检查，若有不合格，需加倍检查，如仍有不合格则应逐个检查，不合格者不得使用。</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硬度不合格的螺栓应取该批中硬度值最高、最低的螺栓各1只，校验其机械性能，若不合格，再取其硬度最接近的螺栓加倍校验，如仍不合格，则该批螺栓不得使用。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4.1.5</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建筑材料进场检验资料</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检测单位</w:t>
            </w:r>
          </w:p>
        </w:tc>
        <w:tc>
          <w:tcPr>
            <w:tcW w:w="2882" w:type="dxa"/>
            <w:vMerge w:val="restart"/>
            <w:vAlign w:val="center"/>
          </w:tcPr>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聚乙烯和钢骨架聚乙烯复合管：检查质量证明文件及抽样检验报告。</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7.1.12 管材、管件从生产到使用之间的存放时间，黄色管道不宜超过1年，黑色管道不宜超过2年。超过上述期限时必须重新抽样检验，合格后方可使用。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《聚乙烯燃气管道工程技术标准》</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63-2018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3.1.3 聚乙烯管材、管件和阀门不应长期户外存放。当从生产到使用期间，累计受到太阳能辐射量超过3.5GJ/m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rPr>
              <w:t>时，或按本标准3.2.2条规定存放，管材存放时间超过4年、密封包装的管件存放时间超过6年，应对其抽样检验，性能符合相关要求。方可使用。</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材抽检项目应包括静液压强度（165h/80℃）、电熔接头的剥离强度和断裂伸长率。管件抽检项目包括静液压强度（165h/80℃）、热熔对接连接的拉伸强度或电熔管件的熔接强度。阀门抽检项目包括静液压强度（165h/80℃）、电熔接头的剥离强度、操作扭矩和密封性能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4.1.6</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建筑材料进场检验资料</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检定机构</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厂站压力容器：检查产品合格证书、产品监督员检验（或安全性能检验证书）、检定证书。</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11.1.3 燃气场站使用的压力容器必须符合国家有关规定，产品应有齐全的质量证明文件和产品监督检验证书（或安全性能检验证书）方可进行安装。</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11.1.4 压力容器的安装应符合国家有关规定。安全阀、检测仪表应按有关规定单独进行检定。阀门等设备、附件压力级别应符合设计要求。</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11.2.2 储配站各种设备及仪器仪表，应经单独检验合格后再安装。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4.1.7</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建筑材料进场检验资料</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检定机构</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燃气计量表：检查出厂合格证、质量保证书、检定合格证。</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5.1.1 燃气计量表在安装前应按本规范第3.2.1、3.2.2条的规定进行检验，并应符合下列规定：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燃气计量表应有出厂合格证、质量保证书；标牌上应有CMC标志、最大流量、生产日期、编号和制造单位；</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燃气计量表应有法定计量检定机构出具的检定合格证书，并应在有效期内；</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超过检定有效期及倒放、侧放的燃气计量表应全部进行复检；</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燃气计量表的性能、规格、适用压力应符合设计文件的要求。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4.2</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rPr>
              <w:t>施工试验检测资料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4.2.1</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施工试验检测资料</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检测单位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回填土压实度检测报告。</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2.4.6 回填土压实后，应分层检查密实度，并做好回填记录。沟槽各部位的密实度应符合下列要求（图2.4.6）：</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对</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Ⅰ</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Ⅱ</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区部位，密实度不应小于90%；</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对</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Ⅲ</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区部位，密实度应符合相应地面对密实度的要求。</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drawing>
                <wp:anchor distT="0" distB="0" distL="114300" distR="114300" simplePos="0" relativeHeight="251659264" behindDoc="0" locked="0" layoutInCell="1" allowOverlap="1">
                  <wp:simplePos x="0" y="0"/>
                  <wp:positionH relativeFrom="column">
                    <wp:posOffset>1286510</wp:posOffset>
                  </wp:positionH>
                  <wp:positionV relativeFrom="paragraph">
                    <wp:posOffset>5715</wp:posOffset>
                  </wp:positionV>
                  <wp:extent cx="2034540" cy="1082040"/>
                  <wp:effectExtent l="0" t="0" r="3810" b="3810"/>
                  <wp:wrapNone/>
                  <wp:docPr id="4" name="图片 7" descr="16517338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7" descr="1651733803(1)"/>
                          <pic:cNvPicPr>
                            <a:picLocks noChangeAspect="1"/>
                          </pic:cNvPicPr>
                        </pic:nvPicPr>
                        <pic:blipFill>
                          <a:blip r:embed="rId16"/>
                          <a:srcRect l="5102" r="8003"/>
                          <a:stretch>
                            <a:fillRect/>
                          </a:stretch>
                        </pic:blipFill>
                        <pic:spPr>
                          <a:xfrm>
                            <a:off x="0" y="0"/>
                            <a:ext cx="2034540" cy="1082040"/>
                          </a:xfrm>
                          <a:prstGeom prst="rect">
                            <a:avLst/>
                          </a:prstGeom>
                        </pic:spPr>
                      </pic:pic>
                    </a:graphicData>
                  </a:graphic>
                </wp:anchor>
              </w:drawing>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p>
            <w:pPr>
              <w:pStyle w:val="2"/>
              <w:keepNext w:val="0"/>
              <w:keepLines w:val="0"/>
              <w:pageBreakBefore w:val="0"/>
              <w:kinsoku/>
              <w:wordWrap/>
              <w:overflowPunct/>
              <w:topLinePunct w:val="0"/>
              <w:autoSpaceDE/>
              <w:autoSpaceDN/>
              <w:bidi w:val="0"/>
              <w:spacing w:line="260" w:lineRule="atLeast"/>
              <w:ind w:left="0" w:leftChars="0"/>
              <w:jc w:val="left"/>
              <w:rPr>
                <w:rFonts w:hint="eastAsia" w:ascii="宋体" w:hAnsi="宋体" w:eastAsia="宋体" w:cs="宋体"/>
                <w:color w:val="auto"/>
                <w:sz w:val="21"/>
                <w:szCs w:val="21"/>
                <w:highlight w:val="none"/>
              </w:rPr>
            </w:pPr>
          </w:p>
          <w:p>
            <w:pPr>
              <w:pStyle w:val="2"/>
              <w:keepNext w:val="0"/>
              <w:keepLines w:val="0"/>
              <w:pageBreakBefore w:val="0"/>
              <w:kinsoku/>
              <w:wordWrap/>
              <w:overflowPunct/>
              <w:topLinePunct w:val="0"/>
              <w:autoSpaceDE/>
              <w:autoSpaceDN/>
              <w:bidi w:val="0"/>
              <w:spacing w:line="260" w:lineRule="atLeast"/>
              <w:ind w:left="0" w:leftChars="0"/>
              <w:jc w:val="left"/>
              <w:rPr>
                <w:rFonts w:hint="eastAsia" w:ascii="宋体" w:hAnsi="宋体" w:eastAsia="宋体" w:cs="宋体"/>
                <w:color w:val="auto"/>
                <w:sz w:val="21"/>
                <w:szCs w:val="21"/>
                <w:highlight w:val="none"/>
              </w:rPr>
            </w:pP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4.2.2</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施工试验检测资料</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检测单位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钢管、管道与设备等焊缝内部质量检测报告。</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5.2.6 管道焊接完成后，强度试验及严密性试验之前，必须对所有焊缝进行外观检查和对焊缝内部质量进行检验，外观检查应在内部质量检验前进行。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9.1.2 燃气管道的安装应符合下列要求：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采用钢管时，燃气钢管的焊缝应进行100%的射线照相检验。</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9.2.5 组装后的管段应采用下水滑道牵引下水，置于浮箱平台，并调整至管道设计轴线水面上，将管段组装成整管。焊口应进行射线照相探伤和防腐补口，并应在管道下沟前对整条管道的防腐层做电火花绝缘检查。</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9.3.4 燃气管道安装应符合下列要求：</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燃气钢管的焊缝应进行100%的射线照相检查；</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11.4.1 设备及管道安装应符合下列要求：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 管道及设备的焊接质量应符合下列要求：</w:t>
            </w:r>
          </w:p>
          <w:p>
            <w:pPr>
              <w:keepNext w:val="0"/>
              <w:keepLines w:val="0"/>
              <w:pageBreakBefore w:val="0"/>
              <w:widowControl w:val="0"/>
              <w:numPr>
                <w:numId w:val="0"/>
              </w:numPr>
              <w:kinsoku/>
              <w:wordWrap/>
              <w:overflowPunct/>
              <w:topLinePunct w:val="0"/>
              <w:autoSpaceDE/>
              <w:autoSpaceDN/>
              <w:bidi w:val="0"/>
              <w:adjustRightInd/>
              <w:snapToGrid/>
              <w:spacing w:line="260" w:lineRule="atLeast"/>
              <w:ind w:leftChars="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所有焊缝应进行外观检查；管道对接焊缝内部质量应采用射线照相探伤，抽检个数为对接焊缝总数的25%，并应符合国家现行标准《压力容器无损检测》JB</w:t>
            </w:r>
            <w:r>
              <w:rPr>
                <w:rFonts w:hint="eastAsia" w:ascii="宋体" w:hAnsi="宋体" w:eastAsia="宋体" w:cs="宋体"/>
                <w:color w:val="auto"/>
                <w:sz w:val="21"/>
                <w:szCs w:val="21"/>
                <w:highlight w:val="none"/>
                <w:lang w:val="en-US" w:eastAsia="zh-CN"/>
              </w:rPr>
              <w:t>/T</w:t>
            </w:r>
            <w:r>
              <w:rPr>
                <w:rFonts w:hint="eastAsia" w:ascii="宋体" w:hAnsi="宋体" w:eastAsia="宋体" w:cs="宋体"/>
                <w:color w:val="auto"/>
                <w:sz w:val="21"/>
                <w:szCs w:val="21"/>
                <w:highlight w:val="none"/>
              </w:rPr>
              <w:t>4730中的Ⅱ级质量要求；</w:t>
            </w:r>
          </w:p>
          <w:p>
            <w:pPr>
              <w:keepNext w:val="0"/>
              <w:keepLines w:val="0"/>
              <w:pageBreakBefore w:val="0"/>
              <w:widowControl w:val="0"/>
              <w:numPr>
                <w:numId w:val="0"/>
              </w:numPr>
              <w:kinsoku/>
              <w:wordWrap/>
              <w:overflowPunct/>
              <w:topLinePunct w:val="0"/>
              <w:autoSpaceDE/>
              <w:autoSpaceDN/>
              <w:bidi w:val="0"/>
              <w:adjustRightInd/>
              <w:snapToGrid/>
              <w:spacing w:line="260" w:lineRule="atLeast"/>
              <w:ind w:leftChars="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管道与设备、阀门、仪表等连接的角焊缝应进行磁粉或液体渗透检验，抽检个数应为角焊缝总数的50%，并应符合现行国家标准《压力容器无损检测》JB</w:t>
            </w:r>
            <w:r>
              <w:rPr>
                <w:rFonts w:hint="eastAsia" w:ascii="宋体" w:hAnsi="宋体" w:eastAsia="宋体" w:cs="宋体"/>
                <w:color w:val="auto"/>
                <w:sz w:val="21"/>
                <w:szCs w:val="21"/>
                <w:highlight w:val="none"/>
                <w:lang w:val="en-US" w:eastAsia="zh-CN"/>
              </w:rPr>
              <w:t>/T</w:t>
            </w:r>
            <w:r>
              <w:rPr>
                <w:rFonts w:hint="eastAsia" w:ascii="宋体" w:hAnsi="宋体" w:eastAsia="宋体" w:cs="宋体"/>
                <w:color w:val="auto"/>
                <w:sz w:val="21"/>
                <w:szCs w:val="21"/>
                <w:highlight w:val="none"/>
              </w:rPr>
              <w:t>4730中的Ⅱ级质量要求。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4.3.7 钢制管道的焊接应符合下列规定：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 管道对接焊缝质量应符合设计文件的要求，当设计文件无明确要求时应符合下列要求：</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3）对接焊缝内部质量采用射线探伤检测时，其质量不应低于现行国家标准《无损检测 金属管道熔化焊环向对接接头射线照相检测方法》</w:t>
            </w:r>
            <w:r>
              <w:rPr>
                <w:rFonts w:hint="eastAsia" w:ascii="宋体" w:hAnsi="宋体" w:eastAsia="宋体" w:cs="宋体"/>
                <w:color w:val="auto"/>
                <w:sz w:val="21"/>
                <w:szCs w:val="21"/>
                <w:highlight w:val="none"/>
                <w:lang w:eastAsia="zh-CN"/>
              </w:rPr>
              <w:t>GB/T</w:t>
            </w:r>
            <w:r>
              <w:rPr>
                <w:rFonts w:hint="eastAsia" w:ascii="宋体" w:hAnsi="宋体" w:eastAsia="宋体" w:cs="宋体"/>
                <w:color w:val="auto"/>
                <w:sz w:val="21"/>
                <w:szCs w:val="21"/>
                <w:highlight w:val="none"/>
              </w:rPr>
              <w:t>12605中的Ⅲ级焊缝质量标准。</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检查数量：当管道明设或暗封敷设时，焊缝外观质量应100%检查，焊缝内部质量的检查比例不少于5%且不少于1个连接部位。当管道暗埋敷设时，焊缝外观和焊缝内部质量应100%检查。</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检查方法：焊缝外观检查采用目视检查或焊缝检查尺检查；焊缝内部质量检查查看无损检测报告。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4.2.3</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施工试验检测资料</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检测单位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球形储罐焊缝射线和超声检测报告。</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《球形储罐施工规范》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50094-2010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7.2.2 符合下列条件之一的球形储罐球壳的对接焊缝或所规定的焊缝，必须按设计图样规定的检测方法进行100%的射线或超声检测</w:t>
            </w:r>
            <w:r>
              <w:rPr>
                <w:rFonts w:hint="eastAsia" w:ascii="宋体" w:hAnsi="宋体" w:eastAsia="宋体" w:cs="宋体"/>
                <w:color w:val="auto"/>
                <w:sz w:val="21"/>
                <w:szCs w:val="21"/>
                <w:highlight w:val="none"/>
                <w:lang w:eastAsia="zh-CN"/>
              </w:rPr>
              <w:t>：</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设计压力大于或等于1.6MPa、且划分为第Ⅲ类压力容器的球形储罐；</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按分析设计标准设计的球形储罐；</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采用气压或气液组合耐压试验的球型储罐；</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钢材标准抗拉强度下限值大于或等于540N/mm2的球形储罐；</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5 设计图样规定应进行全部射线或者超声检测的球形储罐</w:t>
            </w:r>
            <w:r>
              <w:rPr>
                <w:rFonts w:hint="eastAsia" w:ascii="宋体" w:hAnsi="宋体" w:eastAsia="宋体" w:cs="宋体"/>
                <w:color w:val="auto"/>
                <w:sz w:val="21"/>
                <w:szCs w:val="21"/>
                <w:highlight w:val="none"/>
                <w:lang w:eastAsia="zh-CN"/>
              </w:rPr>
              <w:t>；</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 嵌入式接管与球壳连接的对接焊缝；</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 以开孔为中心为圆心、开孔直径的1.5倍为半径的圆内包容的焊缝，以及公称直径大于250mm的接管与长颈对接法兰、接管与接管连接的焊缝；</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 被补强圈和垫板所覆盖的焊缝。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4.2.4</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施工试验检测资料</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检测单位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球形储罐焊缝表面无损检测报告。</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《球形储罐施工规范》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50094-2010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7.3.1 球形储罐的下列部位应在耐压试验前进行磁粉检测或渗透检测，球形储罐需焊后整体热处理时，应在热处理前进行磁粉检测或渗透检测，宜优先采用磁粉检测：</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球壳对接焊缝内、外表面，人孔、接管的凸缘与球壳板对接焊缝内、外表面；</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人孔及公称直径大于或等于250mm接管的对接焊缝的内、外表面；公称直径小于250mm接管的对接焊缝的外表面；</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人孔、接管与球壳板连接的角焊缝内、外表面；</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补强圈、垫板、支柱及其他角焊缝的外表面；</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5 工卡具焊迹打磨后及球壳缺陷焊接修补和打磨后的部位。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11.4.1 设备及管道安装应符合下列要求：</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 管道及设备的焊接质量应符合下列要求：</w:t>
            </w:r>
          </w:p>
          <w:p>
            <w:pPr>
              <w:keepNext w:val="0"/>
              <w:keepLines w:val="0"/>
              <w:pageBreakBefore w:val="0"/>
              <w:widowControl w:val="0"/>
              <w:numPr>
                <w:numId w:val="0"/>
              </w:numPr>
              <w:kinsoku/>
              <w:wordWrap/>
              <w:overflowPunct/>
              <w:topLinePunct w:val="0"/>
              <w:autoSpaceDE/>
              <w:autoSpaceDN/>
              <w:bidi w:val="0"/>
              <w:adjustRightInd/>
              <w:snapToGrid/>
              <w:spacing w:line="260" w:lineRule="atLeast"/>
              <w:ind w:leftChars="0"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管道与设备、阀门、仪表等连接的角焊缝应进行磁粉或液体渗透检验，抽检个数应为角焊缝总数的50%，并应符合国家现行标准《压力容器无损检测》JB</w:t>
            </w:r>
            <w:r>
              <w:rPr>
                <w:rFonts w:hint="eastAsia" w:ascii="宋体" w:hAnsi="宋体" w:eastAsia="宋体" w:cs="宋体"/>
                <w:color w:val="auto"/>
                <w:sz w:val="21"/>
                <w:szCs w:val="21"/>
                <w:highlight w:val="none"/>
                <w:lang w:val="en-US" w:eastAsia="zh-CN"/>
              </w:rPr>
              <w:t xml:space="preserve">/T </w:t>
            </w:r>
            <w:r>
              <w:rPr>
                <w:rFonts w:hint="eastAsia" w:ascii="宋体" w:hAnsi="宋体" w:eastAsia="宋体" w:cs="宋体"/>
                <w:color w:val="auto"/>
                <w:sz w:val="21"/>
                <w:szCs w:val="21"/>
                <w:highlight w:val="none"/>
              </w:rPr>
              <w:t>4730中的Ⅱ级质量要求。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4.2.5</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施工试验检测资料</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检测单位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球形储罐产品焊接试件试验报告。</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《球形储罐施工规范》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50094-2010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9.1.2 产品焊接试件应由施焊球形储罐的焊工，并应在与球形储罐焊接相同的条件和相同的焊接工艺情况下焊接。</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9.2.1 试样的尺寸、截取、试验方法及合格指标，应符合现行行业标准《钢制压力容器产品焊接试板的力学性能检验》JB</w:t>
            </w:r>
            <w:r>
              <w:rPr>
                <w:rFonts w:hint="eastAsia" w:ascii="宋体" w:hAnsi="宋体" w:eastAsia="宋体" w:cs="宋体"/>
                <w:color w:val="auto"/>
                <w:sz w:val="21"/>
                <w:szCs w:val="21"/>
                <w:highlight w:val="none"/>
                <w:lang w:val="en-US" w:eastAsia="zh-CN"/>
              </w:rPr>
              <w:t>/T</w:t>
            </w:r>
            <w:r>
              <w:rPr>
                <w:rFonts w:hint="eastAsia" w:ascii="宋体" w:hAnsi="宋体" w:eastAsia="宋体" w:cs="宋体"/>
                <w:color w:val="auto"/>
                <w:sz w:val="21"/>
                <w:szCs w:val="21"/>
                <w:highlight w:val="none"/>
              </w:rPr>
              <w:t>4744的有关规定。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4.2.6</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施工试验检测资料</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检测单位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聚乙烯管道电熔焊接检测报告。</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7.2.2 对不同级别、不同熔体流动速率的聚乙烯原料制造的管材或管件，不同标准尺寸比（SDR值）的聚乙烯燃气管道连接时，必须采用电熔连接。施工前应进行试验，判定试验连接质量合格后，方可进行电熔连接。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《聚乙烯燃气管道工程技术标准》</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63-2018</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5.1.7 聚乙烯燃气管的连接完成后，应按本标准第5.2节和第5.3节的有关规定进行接头质量检查。不合格应返工，返工后应重新进行接头质量检查。对焊接质量有争议时，应按表5.1.7~1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表5.1.7-3的规定进行检验。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4.2.7</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施工试验检测资料</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检测单位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钢骨架聚乙烯复合管道电熔焊接检测报告</w:t>
            </w:r>
            <w:r>
              <w:rPr>
                <w:rFonts w:hint="eastAsia" w:ascii="宋体" w:hAnsi="宋体" w:eastAsia="宋体" w:cs="宋体"/>
                <w:color w:val="auto"/>
                <w:sz w:val="21"/>
                <w:szCs w:val="21"/>
                <w:highlight w:val="none"/>
                <w:lang w:eastAsia="zh-CN"/>
              </w:rPr>
              <w:t>。</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《城镇燃气输配工程施工及验收规范》</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default" w:ascii="宋体" w:hAnsi="宋体" w:eastAsia="宋体" w:cs="宋体"/>
                <w:color w:val="auto"/>
                <w:sz w:val="21"/>
                <w:szCs w:val="21"/>
                <w:highlight w:val="none"/>
                <w:lang w:val="en-US" w:eastAsia="zh-CN"/>
              </w:rPr>
              <w:t>CJJ33-2005</w:t>
            </w:r>
          </w:p>
        </w:tc>
        <w:tc>
          <w:tcPr>
            <w:tcW w:w="11060" w:type="dxa"/>
            <w:vAlign w:val="center"/>
          </w:tcPr>
          <w:p>
            <w:pPr>
              <w:keepNext w:val="0"/>
              <w:keepLines w:val="0"/>
              <w:widowControl/>
              <w:suppressLineNumbers w:val="0"/>
              <w:jc w:val="left"/>
              <w:rPr>
                <w:rFonts w:hint="default" w:ascii="宋体" w:hAnsi="宋体" w:eastAsia="宋体" w:cs="宋体"/>
                <w:color w:val="auto"/>
                <w:sz w:val="21"/>
                <w:szCs w:val="21"/>
                <w:highlight w:val="none"/>
                <w:lang w:val="en-US" w:eastAsia="zh-CN"/>
              </w:rPr>
            </w:pPr>
            <w:r>
              <w:rPr>
                <w:rFonts w:hint="default" w:ascii="宋体" w:hAnsi="宋体" w:eastAsia="宋体" w:cs="宋体"/>
                <w:color w:val="000000"/>
                <w:kern w:val="0"/>
                <w:sz w:val="20"/>
                <w:szCs w:val="20"/>
                <w:highlight w:val="none"/>
                <w:lang w:val="en-US" w:eastAsia="zh-CN" w:bidi="ar"/>
              </w:rPr>
              <w:t xml:space="preserve">7.3.5 </w:t>
            </w:r>
            <w:r>
              <w:rPr>
                <w:rFonts w:hint="eastAsia" w:ascii="宋体" w:hAnsi="宋体" w:eastAsia="宋体" w:cs="宋体"/>
                <w:color w:val="000000"/>
                <w:kern w:val="0"/>
                <w:sz w:val="20"/>
                <w:szCs w:val="20"/>
                <w:highlight w:val="none"/>
                <w:lang w:val="en-US" w:eastAsia="zh-CN" w:bidi="ar"/>
              </w:rPr>
              <w:t>电熔连接</w:t>
            </w:r>
            <w:r>
              <w:rPr>
                <w:rFonts w:hint="eastAsia" w:ascii="宋体" w:hAnsi="宋体" w:eastAsia="宋体" w:cs="宋体"/>
                <w:color w:val="000000"/>
                <w:kern w:val="0"/>
                <w:sz w:val="20"/>
                <w:szCs w:val="20"/>
                <w:highlight w:val="none"/>
                <w:lang w:val="en-US" w:eastAsia="zh-CN" w:bidi="ar"/>
              </w:rPr>
              <w:t>内部质量应符合国家现行标准《燃气用钢骨架聚乙烯塑料复合管件》</w:t>
            </w:r>
            <w:r>
              <w:rPr>
                <w:rFonts w:hint="default" w:ascii="Times New Roman" w:hAnsi="Times New Roman" w:eastAsia="宋体" w:cs="Times New Roman"/>
                <w:color w:val="000000"/>
                <w:kern w:val="0"/>
                <w:sz w:val="20"/>
                <w:szCs w:val="20"/>
                <w:highlight w:val="none"/>
                <w:lang w:val="en-US" w:eastAsia="zh-CN" w:bidi="ar"/>
              </w:rPr>
              <w:t>CJ/T126</w:t>
            </w:r>
            <w:r>
              <w:rPr>
                <w:rFonts w:hint="eastAsia" w:ascii="宋体" w:hAnsi="宋体" w:eastAsia="宋体" w:cs="宋体"/>
                <w:color w:val="000000"/>
                <w:kern w:val="0"/>
                <w:sz w:val="20"/>
                <w:szCs w:val="20"/>
                <w:highlight w:val="none"/>
                <w:lang w:val="en-US" w:eastAsia="zh-CN" w:bidi="ar"/>
              </w:rPr>
              <w:t>的规定，可采用在现场抽检试验件的方式检查。试验件的接头应采用与实际施工相同的条件焊接制备。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4.2.8</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施工试验检测资料</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绝缘电阻、接地电阻检测。</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8.5.1 安装前，应对绝缘法兰进行绝缘试验检查，其绝缘电阻不应小于1MΩ；当相对湿度大于60%时，其绝缘电阻不应小于500KΩ。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4.3.14 沿</w:t>
            </w:r>
            <w:r>
              <w:rPr>
                <w:rFonts w:hint="eastAsia" w:ascii="宋体" w:hAnsi="宋体" w:eastAsia="宋体" w:cs="宋体"/>
                <w:color w:val="auto"/>
                <w:sz w:val="21"/>
                <w:szCs w:val="21"/>
                <w:highlight w:val="none"/>
              </w:rPr>
              <w:t>屋面或外墙明敷的室内燃气管道，不得布置在屋面上的檐角、屋檐、屋脊等易受雷击部位。当安装在建筑物的避雷保护范围内时，应每隔25m至少于与避雷网采用直径不小于8mm的镀锌圆钢进行连接，焊接部位应采取防腐措施，管道任何部位的接地电阻值不得大于10Ω；当安装在建筑物的避雷保护范围外时，应符合设计文件的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检查比例：100%检查。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检查方法：目视检查和接地摇表测试。</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4.3.30 室内、外燃气管道的防雷、防静电措施应按设计文件要求施工。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检查数量：100%检查。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检查方法：目视检查、按设计文件要求检测。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《城镇燃气埋地钢质管道腐蚀控制技术规程》</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95-2013</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6.4.2 阴极保护系统竣工后，应进行下列参数的测试：</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强制电流阴极保护系统测试应包括下列参数：</w:t>
            </w:r>
          </w:p>
          <w:p>
            <w:pPr>
              <w:keepNext w:val="0"/>
              <w:keepLines w:val="0"/>
              <w:pageBreakBefore w:val="0"/>
              <w:numPr>
                <w:ilvl w:val="0"/>
                <w:numId w:val="11"/>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管道沿线土壤电阻率；</w:t>
            </w:r>
          </w:p>
          <w:p>
            <w:pPr>
              <w:keepNext w:val="0"/>
              <w:keepLines w:val="0"/>
              <w:pageBreakBefore w:val="0"/>
              <w:numPr>
                <w:ilvl w:val="0"/>
                <w:numId w:val="11"/>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管道自腐蚀电位；</w:t>
            </w:r>
          </w:p>
          <w:p>
            <w:pPr>
              <w:keepNext w:val="0"/>
              <w:keepLines w:val="0"/>
              <w:pageBreakBefore w:val="0"/>
              <w:numPr>
                <w:ilvl w:val="0"/>
                <w:numId w:val="11"/>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辅助阳极接地电阻；</w:t>
            </w:r>
          </w:p>
          <w:p>
            <w:pPr>
              <w:keepNext w:val="0"/>
              <w:keepLines w:val="0"/>
              <w:pageBreakBefore w:val="0"/>
              <w:numPr>
                <w:ilvl w:val="0"/>
                <w:numId w:val="11"/>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辅助阳极埋设点的土壤电阻率；</w:t>
            </w:r>
          </w:p>
          <w:p>
            <w:pPr>
              <w:keepNext w:val="0"/>
              <w:keepLines w:val="0"/>
              <w:pageBreakBefore w:val="0"/>
              <w:numPr>
                <w:ilvl w:val="0"/>
                <w:numId w:val="11"/>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绝缘装置的绝缘性能；</w:t>
            </w:r>
          </w:p>
          <w:p>
            <w:pPr>
              <w:keepNext w:val="0"/>
              <w:keepLines w:val="0"/>
              <w:pageBreakBefore w:val="0"/>
              <w:numPr>
                <w:ilvl w:val="0"/>
                <w:numId w:val="11"/>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管道极化电位；</w:t>
            </w:r>
          </w:p>
          <w:p>
            <w:pPr>
              <w:keepNext w:val="0"/>
              <w:keepLines w:val="0"/>
              <w:pageBreakBefore w:val="0"/>
              <w:numPr>
                <w:ilvl w:val="0"/>
                <w:numId w:val="11"/>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管道保护电流；</w:t>
            </w:r>
          </w:p>
          <w:p>
            <w:pPr>
              <w:keepNext w:val="0"/>
              <w:keepLines w:val="0"/>
              <w:pageBreakBefore w:val="0"/>
              <w:numPr>
                <w:ilvl w:val="0"/>
                <w:numId w:val="11"/>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电源输出电流、电压。</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牺牲阳极阴极保护系统测试应包括下列参数：</w:t>
            </w:r>
          </w:p>
          <w:p>
            <w:pPr>
              <w:keepNext w:val="0"/>
              <w:keepLines w:val="0"/>
              <w:pageBreakBefore w:val="0"/>
              <w:numPr>
                <w:ilvl w:val="0"/>
                <w:numId w:val="12"/>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阳极开路电位；</w:t>
            </w:r>
          </w:p>
          <w:p>
            <w:pPr>
              <w:keepNext w:val="0"/>
              <w:keepLines w:val="0"/>
              <w:pageBreakBefore w:val="0"/>
              <w:numPr>
                <w:ilvl w:val="0"/>
                <w:numId w:val="12"/>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阳极闭路电位；</w:t>
            </w:r>
          </w:p>
          <w:p>
            <w:pPr>
              <w:keepNext w:val="0"/>
              <w:keepLines w:val="0"/>
              <w:pageBreakBefore w:val="0"/>
              <w:numPr>
                <w:ilvl w:val="0"/>
                <w:numId w:val="12"/>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管道自腐蚀电位；</w:t>
            </w:r>
          </w:p>
          <w:p>
            <w:pPr>
              <w:keepNext w:val="0"/>
              <w:keepLines w:val="0"/>
              <w:pageBreakBefore w:val="0"/>
              <w:numPr>
                <w:ilvl w:val="0"/>
                <w:numId w:val="12"/>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管道极化电位；</w:t>
            </w:r>
          </w:p>
          <w:p>
            <w:pPr>
              <w:keepNext w:val="0"/>
              <w:keepLines w:val="0"/>
              <w:pageBreakBefore w:val="0"/>
              <w:numPr>
                <w:ilvl w:val="0"/>
                <w:numId w:val="12"/>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单支阳极输出电流；</w:t>
            </w:r>
          </w:p>
          <w:p>
            <w:pPr>
              <w:keepNext w:val="0"/>
              <w:keepLines w:val="0"/>
              <w:pageBreakBefore w:val="0"/>
              <w:numPr>
                <w:ilvl w:val="0"/>
                <w:numId w:val="12"/>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组合阳极联合输出电流；</w:t>
            </w:r>
          </w:p>
          <w:p>
            <w:pPr>
              <w:keepNext w:val="0"/>
              <w:keepLines w:val="0"/>
              <w:pageBreakBefore w:val="0"/>
              <w:numPr>
                <w:ilvl w:val="0"/>
                <w:numId w:val="12"/>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单支阳极接地电阻；</w:t>
            </w:r>
          </w:p>
          <w:p>
            <w:pPr>
              <w:keepNext w:val="0"/>
              <w:keepLines w:val="0"/>
              <w:pageBreakBefore w:val="0"/>
              <w:numPr>
                <w:ilvl w:val="0"/>
                <w:numId w:val="12"/>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组合阳极接地电阻；</w:t>
            </w:r>
          </w:p>
          <w:p>
            <w:pPr>
              <w:keepNext w:val="0"/>
              <w:keepLines w:val="0"/>
              <w:pageBreakBefore w:val="0"/>
              <w:numPr>
                <w:ilvl w:val="0"/>
                <w:numId w:val="12"/>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阳极埋设点的土壤电阻率；</w:t>
            </w:r>
          </w:p>
          <w:p>
            <w:pPr>
              <w:keepNext w:val="0"/>
              <w:keepLines w:val="0"/>
              <w:pageBreakBefore w:val="0"/>
              <w:numPr>
                <w:ilvl w:val="0"/>
                <w:numId w:val="12"/>
              </w:numPr>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绝缘装置的绝缘性能。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4.2.9</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施工试验检测资料</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防腐层电火花检漏试验。</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《燃气工程项目规范》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55009-2021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5.1.21 埋地钢质输配管道埋设前，应对防腐层进行100%的外观检查，防腐层表面不得出现气泡、破损、裂纹、剥离等缺陷。不符合质量要求时，应返工处理直至合格。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7.2.7 法兰或钢塑过渡连接完成后，其金属部分应按设计要求的防腐等级进行防腐，并检验合格。</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9.2.5 组装后的管段应采用下水滑道牵引下水，置于浮箱平台，并调整至管道设计轴线水面上，将管段组装成整管。焊口应进行射线照相探伤和防腐补口，并应在管道下沟前对整条管道的防腐层做电火花绝缘检查。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4.2.3 当引入管埋地部分与室外埋地PE管相连时，其连接位置距建筑物基础不宜小于0.5m，且应采用钢塑焊接转换接头。当采用法兰转换接头时，应对法兰及其紧固件的周围死角和空隙部分采用防腐胶泥填充进行过渡，进行防腐层施工前胶泥应干实。防腐层的种类和防腐等级应符合设计文件要求，接头钢质部分的防腐等级不应低于管道的防腐等级。</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检查数量：100%检查。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检查方法：目视检查、针孔检漏仪检测。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《埋地钢质管道聚乙烯防腐层》</w:t>
            </w:r>
            <w:r>
              <w:rPr>
                <w:rFonts w:hint="eastAsia" w:ascii="宋体" w:hAnsi="宋体" w:eastAsia="宋体" w:cs="宋体"/>
                <w:color w:val="auto"/>
                <w:sz w:val="21"/>
                <w:szCs w:val="21"/>
                <w:highlight w:val="none"/>
                <w:lang w:eastAsia="zh-CN"/>
              </w:rPr>
              <w:t>GB/T</w:t>
            </w:r>
            <w:r>
              <w:rPr>
                <w:rFonts w:hint="eastAsia" w:ascii="宋体" w:hAnsi="宋体" w:eastAsia="宋体" w:cs="宋体"/>
                <w:color w:val="auto"/>
                <w:sz w:val="21"/>
                <w:szCs w:val="21"/>
                <w:highlight w:val="none"/>
              </w:rPr>
              <w:t>23257-2017</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9.4 补口质量检验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补口质量应检验外观、漏点及剥离强度等三项内容，检验宜在补口安装24h后进行：</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b</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每一个补口均应用电火花检漏仪进行漏点检查。检漏电压为15kV。若有漏点，应重新补口并检漏，直至合格。</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9.5.6 补伤质量应检验外观、漏点及剥离强度等三项内容：</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b</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每一个补伤处均应用电火花检漏仪进行漏点检查，检漏电压为15kV。若不合格，应重新修补并检漏，直至合格。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4.2.10</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施工试验检测资料</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防腐层剥离强度试验。</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《埋地钢质管道聚乙烯防腐层》</w:t>
            </w:r>
            <w:r>
              <w:rPr>
                <w:rFonts w:hint="eastAsia" w:ascii="宋体" w:hAnsi="宋体" w:eastAsia="宋体" w:cs="宋体"/>
                <w:color w:val="auto"/>
                <w:sz w:val="21"/>
                <w:szCs w:val="21"/>
                <w:highlight w:val="none"/>
                <w:lang w:eastAsia="zh-CN"/>
              </w:rPr>
              <w:t>GB/T</w:t>
            </w:r>
            <w:r>
              <w:rPr>
                <w:rFonts w:hint="eastAsia" w:ascii="宋体" w:hAnsi="宋体" w:eastAsia="宋体" w:cs="宋体"/>
                <w:color w:val="auto"/>
                <w:sz w:val="21"/>
                <w:szCs w:val="21"/>
                <w:highlight w:val="none"/>
              </w:rPr>
              <w:t>23257-2017</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9.4 补口质量检验</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补口质量应检验外观、漏点及剥离强度等三项内容，检验宜在补口安装24h后进行：</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c）补口后热收缩带（套）的剥离强度按附录K规定的方法进行检测。检验时的管体温度宜为15℃~25℃，对钢管和聚乙烯防腐层的剥离强度应不小于50N/cm并80%表面呈内聚破坏，当剥离强度超过100N/cm时，可以呈界面破坏，剥离面的底漆应完整附着在钢管表面。每100个补口至少抽测1个口，如不合格，应加倍抽测。加倍抽测仍有不合格时，则对应的100个补口应全部返修。</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9.5.6 补伤质量应检验外观、漏点及剥离强度等三项内容：</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c）采用补伤片补伤的剥离强度按附录K规定的方法进行检验，管体温度为15℃~25℃时的剥离强度应不低于50N/cm。</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9.5.8 现场施工过程的补伤，每20个补伤抽查一处剥离强度，不合格时，应加倍抽查。加倍抽查仍出现不合格时，则对应的20个补伤应全部返修。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4.2.11</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施工试验检测资料</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管道强度试验和严密性试验。</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《燃气工程项目规范》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55009-2021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5.1.24 输配管道安装结束后，必须进行管道清扫、强度试验和严密性试验，并应合格。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11.1.11 场站内的燃气管道安装完毕后必须进行吹扫和压力试验，并应符合下列规定：</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场站内管道的吹扫和强度试验应符合本规范第12章的规定；</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埋地管道的严密性试验应符合本规范第12章的规定；</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地上管道进行严密性试验时，试验压力应为设计压力，且不得小于0.3MPa；试验时压力应缓慢上升到规定值，采用发泡剂进行检查，无渗漏为合格。其他要求应符合本规范第12.4节的规定。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12.4.6 所有未参加严密性试验的设备、仪表、管件，应在严密性试验合格后进行复位，然后按设计压力对系统升压，应采用发泡剂检查设备、仪表、管件及其与管道的连接处，不漏为合格。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8.1.1 室内燃气管道的试验应符合下列要求：</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自引入管阀门起至燃具之间的管道的试验应符合本规范的要求；</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自引入管阀门起至室外配气支管之间管线的试验应符合国家现行标准《城镇燃气输配工程施工及验收规范》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33的有关规定。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8.2.1 室内燃气管道强度试验的范围应符合下列规定：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明管敷设时，居民用户应为引入管阀门至燃气计量装置前阀门之间的管道系统；暗埋或暗封敷设时，居民用户应为引入管阀门至燃具接入管阀门（含阀门）之间的管道；</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商业用户及工业企业用户应为引入管阀门至燃具接入管阀门（含阀门）之间的管道（含暗埋或暗封的燃气管道）。</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8.3.1 严密性试验范围应为引入管阀门至燃具前阀门之间的管道。通气前还应对燃具前阀门至燃具之间的管道进行检查。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4.2.12</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施工试验检测资料</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管道附件强度、严密性试验。</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8.1.2 阀门、凝水缸及补偿器等在正式安装前，应按其产品标准要求单独进行强度和严密性试验，经试验合格的设备、附件应做好标记，并应填写试验记录。</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8.1.9 管道附件、设备安装完成后，应与管线一起进行严密性试验。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4.1.7 阀门的安装应符合下列要求：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在安装前应对阀门逐个进行外观检查，并宜对引入管阀门进行严密性试验。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4.2.13</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施工试验检测资料</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储罐压力试验。</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11.4.2 试验及验收应符合下列要求：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储罐的水压试验压力应为设计压力的1.25倍，安全阀、液位计不应参与试验。试验时压力缓慢上升，达到规定压力后保持半小时，无泄漏、无可见变形、无异常声响为合格。</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储罐水压试验合格后，装上安全阀、液位计进行严密性试验。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《球形储罐施工规范》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50094-2010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10.1.1 球形储罐必须按设计图样规定的试验方法进行耐压试验。耐压试验应包括液压试验、气压试验和气液组合试验。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4.2.14</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施工试验检测资料</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检测单位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调压装置的厂界环境噪声。</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《燃气工程项目规范》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55009-2021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5.2.16 调压装置的厂界环境噪声应控制在国家现行环境标准允许的范围内。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4.3</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rPr>
              <w:t>施工记录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4.3.1</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设计单位</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工程交桩记录。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2.1.1 土方施工前，建设单位应组织有关单位向施工单位进行现场交桩。临时水准点、管道轴线控制桩、高程桩，应经过复核后方可使用，并应定期校核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4.3.2</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沟槽回填检查记录。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2.4.6 回填土压实后，应分层检查密实度，并做好回填记录。沟槽各部位的密实度应符合下列要求（图2.4.6）：</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对</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Ⅰ</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Ⅱ</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区部位，密实度不应小于90%；</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对</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Ⅲ</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区部位，密实度应符合相应地面对密实度的要求。</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drawing>
                <wp:anchor distT="0" distB="0" distL="114300" distR="114300" simplePos="0" relativeHeight="251660288" behindDoc="0" locked="0" layoutInCell="1" allowOverlap="1">
                  <wp:simplePos x="0" y="0"/>
                  <wp:positionH relativeFrom="column">
                    <wp:posOffset>951865</wp:posOffset>
                  </wp:positionH>
                  <wp:positionV relativeFrom="paragraph">
                    <wp:posOffset>95885</wp:posOffset>
                  </wp:positionV>
                  <wp:extent cx="2034540" cy="1082040"/>
                  <wp:effectExtent l="0" t="0" r="3810" b="3810"/>
                  <wp:wrapNone/>
                  <wp:docPr id="5" name="图片 8" descr="16517338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8" descr="1651733803(1)"/>
                          <pic:cNvPicPr>
                            <a:picLocks noChangeAspect="1"/>
                          </pic:cNvPicPr>
                        </pic:nvPicPr>
                        <pic:blipFill>
                          <a:blip r:embed="rId16"/>
                          <a:srcRect l="5102" r="8003"/>
                          <a:stretch>
                            <a:fillRect/>
                          </a:stretch>
                        </pic:blipFill>
                        <pic:spPr>
                          <a:xfrm>
                            <a:off x="0" y="0"/>
                            <a:ext cx="2034540" cy="1082040"/>
                          </a:xfrm>
                          <a:prstGeom prst="rect">
                            <a:avLst/>
                          </a:prstGeom>
                        </pic:spPr>
                      </pic:pic>
                    </a:graphicData>
                  </a:graphic>
                </wp:anchor>
              </w:drawing>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p>
            <w:pPr>
              <w:pStyle w:val="2"/>
              <w:keepNext w:val="0"/>
              <w:keepLines w:val="0"/>
              <w:pageBreakBefore w:val="0"/>
              <w:kinsoku/>
              <w:wordWrap/>
              <w:overflowPunct/>
              <w:topLinePunct w:val="0"/>
              <w:autoSpaceDE/>
              <w:autoSpaceDN/>
              <w:bidi w:val="0"/>
              <w:spacing w:line="260" w:lineRule="atLeast"/>
              <w:ind w:left="0" w:leftChars="0"/>
              <w:jc w:val="left"/>
              <w:rPr>
                <w:rFonts w:hint="eastAsia" w:ascii="宋体" w:hAnsi="宋体" w:eastAsia="宋体" w:cs="宋体"/>
                <w:color w:val="auto"/>
                <w:sz w:val="21"/>
                <w:szCs w:val="21"/>
                <w:highlight w:val="none"/>
              </w:rPr>
            </w:pPr>
          </w:p>
          <w:p>
            <w:pPr>
              <w:pStyle w:val="2"/>
              <w:keepNext w:val="0"/>
              <w:keepLines w:val="0"/>
              <w:pageBreakBefore w:val="0"/>
              <w:kinsoku/>
              <w:wordWrap/>
              <w:overflowPunct/>
              <w:topLinePunct w:val="0"/>
              <w:autoSpaceDE/>
              <w:autoSpaceDN/>
              <w:bidi w:val="0"/>
              <w:spacing w:line="260" w:lineRule="atLeast"/>
              <w:ind w:left="0" w:leftChars="0"/>
              <w:jc w:val="left"/>
              <w:rPr>
                <w:rFonts w:hint="eastAsia" w:ascii="宋体" w:hAnsi="宋体" w:eastAsia="宋体" w:cs="宋体"/>
                <w:color w:val="auto"/>
                <w:sz w:val="21"/>
                <w:szCs w:val="21"/>
                <w:highlight w:val="none"/>
              </w:rPr>
            </w:pPr>
          </w:p>
          <w:p>
            <w:pPr>
              <w:pStyle w:val="2"/>
              <w:keepNext w:val="0"/>
              <w:keepLines w:val="0"/>
              <w:pageBreakBefore w:val="0"/>
              <w:kinsoku/>
              <w:wordWrap/>
              <w:overflowPunct/>
              <w:topLinePunct w:val="0"/>
              <w:autoSpaceDE/>
              <w:autoSpaceDN/>
              <w:bidi w:val="0"/>
              <w:spacing w:line="260" w:lineRule="atLeast"/>
              <w:ind w:left="0" w:leftChars="0"/>
              <w:jc w:val="left"/>
              <w:rPr>
                <w:rFonts w:hint="eastAsia" w:ascii="宋体" w:hAnsi="宋体" w:eastAsia="宋体" w:cs="宋体"/>
                <w:color w:val="auto"/>
                <w:sz w:val="21"/>
                <w:szCs w:val="21"/>
                <w:highlight w:val="none"/>
              </w:rPr>
            </w:pP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4.3.3</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钢质管道焊接检查记录。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5.2.6 管道焊接完成后，强度试验及严密性试验之前，必须对所有焊缝进行外观检查和对焊缝内部质量进行检验，外观检查应在内部质量检验前进行。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4.3.7 钢制管道的焊接应符合下列规定：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 管道对接焊缝质量应符合设计文件的要求，当设计文件无明确要求时应符合下列要求：</w:t>
            </w:r>
          </w:p>
          <w:p>
            <w:pPr>
              <w:keepNext w:val="0"/>
              <w:keepLines w:val="0"/>
              <w:pageBreakBefore w:val="0"/>
              <w:widowControl w:val="0"/>
              <w:numPr>
                <w:numId w:val="0"/>
              </w:numPr>
              <w:kinsoku/>
              <w:wordWrap/>
              <w:overflowPunct/>
              <w:topLinePunct w:val="0"/>
              <w:autoSpaceDE/>
              <w:autoSpaceDN/>
              <w:bidi w:val="0"/>
              <w:adjustRightInd/>
              <w:snapToGrid/>
              <w:spacing w:line="260" w:lineRule="atLeast"/>
              <w:ind w:leftChars="0"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对接焊缝内部质量采用射线探伤检测时，其质量不应低于现行国家标准《无损检测 金属管道熔化焊环向对接接头射线照相检测方法》</w:t>
            </w:r>
            <w:r>
              <w:rPr>
                <w:rFonts w:hint="eastAsia" w:ascii="宋体" w:hAnsi="宋体" w:eastAsia="宋体" w:cs="宋体"/>
                <w:color w:val="auto"/>
                <w:sz w:val="21"/>
                <w:szCs w:val="21"/>
                <w:highlight w:val="none"/>
                <w:lang w:eastAsia="zh-CN"/>
              </w:rPr>
              <w:t>GB/T</w:t>
            </w:r>
            <w:r>
              <w:rPr>
                <w:rFonts w:hint="eastAsia" w:ascii="宋体" w:hAnsi="宋体" w:eastAsia="宋体" w:cs="宋体"/>
                <w:color w:val="auto"/>
                <w:sz w:val="21"/>
                <w:szCs w:val="21"/>
                <w:highlight w:val="none"/>
              </w:rPr>
              <w:t>12605中的Ⅲ级焊缝质量标准。</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检查数量：当管道明设或暗封敷设时，焊缝外观质量应100%检查，焊缝内部质量的检查比例不少于5%且不少于1个连接部位。当管道暗埋敷设时，焊缝外观和焊缝内部质量应100%检查。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检查方法：焊缝外观检查采用目视检查或焊缝检查尺检查；焊缝内部质量检查查看无损检测报告。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4.3.4</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聚乙烯管道电熔、热熔连接质量检查记录。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7.2.3 热熔连接的焊接接头连接完成后，应进行100%外观检验及10%翻边切除检验，并应符合国家现行标准《聚乙烯燃气管道工程技术规程》</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63的要求。</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7.2.4 电熔连接的焊接接头连接完成后，应进行外观检查，并应符合国家现行标准《聚乙烯燃气管道工程技术标准》</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63的要求。</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7.2.5 电熔鞍形连接完成后，应进行外观检查，并应符合国家现行标准《聚乙烯燃气管道工程技术标准》</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63的要求。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4.3.5</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埋地钢管补口、补伤及防腐层检查记录。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《燃气工程项目规范》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55009-2021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5.1.21 埋地钢质输配管道埋设前，应对防腐层进行100%的外观检查，防腐层表面不得出现气泡、破损、裂纹、剥离等缺陷。不符合质量要求时，应返工处理直至合格。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5.4.10 管道下沟前必须对防腐层进行100%的外观检查，回填前应进行100%电火花检漏，回填后必须对防腐层完整性进行全线检查，不合格必须返工处理直至合格。</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7.2.7 法兰或钢塑过渡连接完成后，其金属部分应按设计要求的防腐等级进行防腐，并检验合格。</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9.2.5 组装后的管段应采用下水滑道牵引下水，置于浮箱平台，并调整至管道设计轴线水面上，将管段组装成整管。焊口应进行射线照相探伤和防腐补口，并应在管道下沟前对整条管道的防腐层做电火花绝缘检查。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2"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4.2.3 当引入管埋地部分与室外埋地PE管相连时，其连接位置距建筑物基础不宜小于0.5m，且应采用钢塑焊接转换接头。当采用法兰转换接头时，应对法兰及其紧固件的周围死角和空隙部分采用防腐胶泥填充进行过渡，进行防腐层施工前胶泥应干实。防腐层的种类和防腐等级应符合设计文件要求，接头钢质部分的防腐等级不应低于管道的防腐等级。</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检查数量：100%检查。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检查方法：目视检查、针孔检漏仪检测。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4.3.6</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阀门试验记录。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8.1.2 阀门、凝水缸及补偿器等在正式安装前，应按其产品标准要求单独进行强度和严密性试验，经试验合格的设备、附件应做好标记，并应填写试验记录。</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8.1.9 管道附件、设备安装完成后，应与管线一起进行严密性试验。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4.1.7 阀门的安装应符合下列要求：</w:t>
            </w:r>
          </w:p>
          <w:p>
            <w:pPr>
              <w:keepNext w:val="0"/>
              <w:keepLines w:val="0"/>
              <w:pageBreakBefore w:val="0"/>
              <w:widowControl w:val="0"/>
              <w:kinsoku/>
              <w:wordWrap/>
              <w:overflowPunct/>
              <w:topLinePunct w:val="0"/>
              <w:autoSpaceDE/>
              <w:autoSpaceDN/>
              <w:bidi w:val="0"/>
              <w:adjustRightInd/>
              <w:snapToGrid/>
              <w:spacing w:line="260" w:lineRule="atLeast"/>
              <w:ind w:left="0" w:firstLine="210" w:firstLineChars="1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在安装前应对阀门逐个进行外观检查，并宜对引入管阀门进行严密性试验。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4.3.7</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穿跨越工程（沉管）施工记录。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《城镇燃气管道穿跨越工程技术规程》</w:t>
            </w:r>
            <w:r>
              <w:rPr>
                <w:rFonts w:hint="eastAsia" w:ascii="宋体" w:hAnsi="宋体" w:eastAsia="宋体" w:cs="宋体"/>
                <w:color w:val="auto"/>
                <w:sz w:val="21"/>
                <w:szCs w:val="21"/>
                <w:highlight w:val="none"/>
                <w:lang w:eastAsia="zh-CN"/>
              </w:rPr>
              <w:t>CJJ/T</w:t>
            </w:r>
            <w:r>
              <w:rPr>
                <w:rFonts w:hint="eastAsia" w:ascii="宋体" w:hAnsi="宋体" w:eastAsia="宋体" w:cs="宋体"/>
                <w:color w:val="auto"/>
                <w:sz w:val="21"/>
                <w:szCs w:val="21"/>
                <w:highlight w:val="none"/>
              </w:rPr>
              <w:t>250-2016</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5.2.4 河底管沟的几何尺寸和质量应符合下列规定：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管沟开挖过程中，应定时测量管沟尺寸。管沟开挖完成后，应对管沟进行测量，并应做好记录。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 管道穿跨越工程》SY 4207-2007</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6.1.1.4.1 主控项目</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a)</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沉管开挖深度允许偏差为±0.3m。</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检验数量：每15m检查不应少于1处。</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检验方法：仪器测量，检查施工记录。</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6.1.1.4.2 一般项目</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沉管法管沟开挖沟底宽度允许偏差为±0.6m。</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检验数量：每15m检查不应少于1处。</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检验方法：仪器测量，检查施工记录。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4.3.8</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穿跨越工程（定向钻）施工记录。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《城镇燃气管道穿跨越工程技术规程》</w:t>
            </w:r>
            <w:r>
              <w:rPr>
                <w:rFonts w:hint="eastAsia" w:ascii="宋体" w:hAnsi="宋体" w:eastAsia="宋体" w:cs="宋体"/>
                <w:color w:val="auto"/>
                <w:sz w:val="21"/>
                <w:szCs w:val="21"/>
                <w:highlight w:val="none"/>
                <w:lang w:eastAsia="zh-CN"/>
              </w:rPr>
              <w:t>CJJ/T</w:t>
            </w:r>
            <w:r>
              <w:rPr>
                <w:rFonts w:hint="eastAsia" w:ascii="宋体" w:hAnsi="宋体" w:eastAsia="宋体" w:cs="宋体"/>
                <w:color w:val="auto"/>
                <w:sz w:val="21"/>
                <w:szCs w:val="21"/>
                <w:highlight w:val="none"/>
              </w:rPr>
              <w:t>250-2016</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5.3.14 回拖作业应符合下列规定：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应实时记录回拖过程的回拖力、扭矩、回拖速度、钻进液流量等数据，并应附于竣工资料中。</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5.3.18 施工完毕后，应测量出、入土点坐标，做好施工记录；并进行防腐层完整性评价，检测合格后方可与两端管道进行连接。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《石油天然气建设工程施工质量验收规范 管道穿跨越工程》SY 4207-2007</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7.1.1.2 主控项目</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a) 导向孔钻进曲线的曲率半径应符合设计要求。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检验数量：全数检查。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检验方法：检查施工记录。</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7.1.2.2 主控项目</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扩孔的孔径应满足管道回拖要求，一般情况下穿越管段直径小于或等于219mm时，最小扩孔直径以比管径大100mm；穿越管段直径大于219mm且小于610mm时，最小扩孔直径宜为管径的1.5倍；穿越管段直径大于或等于610mm时，最小扩孔直径宜比管径大300mm。</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检验数量：全数检查。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检验方法：检查施工记录。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4.3.9</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管道吹扫记录。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《燃气工程项目规范》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55009-2021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5.1.24 输配管道安装结束后，必须进行管道清扫、强度试验和严密性试验，并应合格。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11.1.11 场站内的燃气管道安装完毕后必须进行吹扫和压力试验，并应符合下列规定：</w:t>
            </w:r>
          </w:p>
          <w:p>
            <w:pPr>
              <w:keepNext w:val="0"/>
              <w:keepLines w:val="0"/>
              <w:pageBreakBefore w:val="0"/>
              <w:kinsoku/>
              <w:wordWrap/>
              <w:overflowPunct/>
              <w:topLinePunct w:val="0"/>
              <w:autoSpaceDE/>
              <w:autoSpaceDN/>
              <w:bidi w:val="0"/>
              <w:spacing w:line="260" w:lineRule="atLeast"/>
              <w:ind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场站内管道的吹扫和强度试验应符合本规范第12章的规定；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12.1.1 管道安装完毕后应依次进行管道吹扫、强度试验和严密性试验。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4.3.10</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管道强度、严密性试验记录。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《燃气工程项目规范》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55009-2021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5.1.24 输配管道安装结束后，必须进行管道清扫、强度试验和严密性试验，并应合格。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11.1.11 场站内的燃气管道安装完毕后必须进行吹扫和压力试验，并应符合下列规定：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场站内管道的吹扫和强度试验应符合本规范第12章的规定；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埋地管道的严密性试验应符合本规范第12章的规定；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地上管道进行严密性试验时，试验压力应为设计压力，且不得小于0.3MPa；试验时压力应缓慢上升到规定值，采用发泡剂进行检查，无渗漏为合格。其他要求应符合本规范第12.4节的规定。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12.1.1 管道安装完毕后应依次进行管道吹扫、强度试验和严密性试验。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8.1.1 室内燃气管道的试验应符合下列要求：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自引入管阀门起至燃具之间的管道的试验应符合本规范的要求；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自引入管阀门起至室外配气支管之间管线的试验应符合国家现行标准《城镇燃气输配工程施工及验收规范》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33的有关规定。</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8.2.1 室内燃气管道强度试验的范围应符合下列规定：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明管敷设时，居民用户应为引入管阀门至燃气计量装置前阀门之间的管道系统；暗埋或暗封敷设时，居民用户应为引入管阀门至燃具接入管阀门（含阀门）之间的管道；</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商业用户及工业企业用户应为引入管阀门至燃具接入管阀门（含阀门）之间的管道（含暗埋或暗封的燃气管道）。</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8.2.4 强度试验试验压力应为设计压力的1.5倍且不得低于0.1MPa，</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8.2.5强度试验应符合下列要求：</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在低压燃气管道系统达到试验压力时；稳压不少于0.5h后，应用发泡剂检查所有接头，无渗漏、压力计量装置无压力降为合格；</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在中压燃气管道系统达到试验压力时，稳压不少于0.5h后，应用发泡剂检查所有接头，无渗漏、压力计量装置无压力降为合格；或稳压不少于lh，观察压力计量装置，无压力降为合格；</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当中压以上燃气管道系统进行强度试验时，应在达到试验压力的50%时停止不少于15min，用发泡剂检查所有接头，无渗漏后方可继续缓慢升压至试验压力并稳压不少于lh后，压力计量装置无压力降为合格。</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8.3.1 严密性试验范围应为引入管阀门至燃具前管阀门之间的管道。通气前还应对燃具前阀门至燃具之间的管道进行检查。</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8.3.3 严密性试验应符合下列要求： </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低压管道系统</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试验压力应为设计压力且不得低于5kPa。在试验压力下，居民用户应稳压不少于15min，商业和工业企业用户应稳压不少于30min，并用发泡剂检查全部连接点，无渗漏、压力计无压力降为合格。</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当试验系统中有不锈钢波纹软管、覆塑铜管、铝塑复合管、耐油胶管时，在试验压力下的稳压时间不宜小于1h，除对各密封点检查外，还应对外包覆层端面是否有渗漏现象进行检查。</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中压及以上压力管道系统</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试验压力应为设计压力且不得低于0.1MPa。在试验压力下稳压不得少于2h，用发泡剂检查全部连接点，无渗漏、压力计量装置无压力降为合格。</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8.3.4 低压燃气管道严密性试验的压力计量装置应采用U形压力计。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4.3.11</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阴极保护测试记录。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《燃气工程项目规范》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55009-2021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5.1.20 埋地钢质输配管道应采用外防腐层辅以阴极保护系统的腐蚀控制措施。新建输配管道的阴极保护系统应与输配管道同时实施，并应同时投入使用。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《油气长输管道工程施工及验收规范》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50369-2014</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16.2.5 阴极保护投入运行前，应做好自然电位测试；运行后应做好保护电位和保护电流测试。测试记录应完整。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4.3.1</w:t>
            </w:r>
            <w:r>
              <w:rPr>
                <w:rFonts w:hint="eastAsia" w:ascii="宋体" w:hAnsi="宋体" w:eastAsia="宋体" w:cs="宋体"/>
                <w:color w:val="auto"/>
                <w:sz w:val="21"/>
                <w:szCs w:val="21"/>
                <w:highlight w:val="none"/>
                <w:lang w:val="en-US" w:eastAsia="zh-CN"/>
              </w:rPr>
              <w:t>2</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球形储罐焊接记录（含焊缝及焊工布置图）。</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《球形储罐施工规范》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50094-2010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6.4.9 施工单位应在焊接记录（含焊缝布置图）中记录焊工代号，如需要或有要求时还应在焊缝附近的指定部位打上焊工代号钢印（不允许打钢印的球形储罐除外）。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4.3.13</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球形储罐焊缝返修记录。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《球形储罐施工规范》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50094-2010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6.5.3 焊缝内部缺陷的修补应符合下列规定：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 焊接修补的部位、次数和检测结果应作记录。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4.3.14</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球形储罐焊后热处理记录。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《球形储罐施工规范》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50094-2010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8.4.3 热处理时，应对热处理温度进行连续自动记录。热电偶及记录仪表应经过校准并在有效周期内，准确度应至少达到±1%的要求。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4.3.15</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球形储罐基础沉降记录。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《球形储罐施工规范》</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50094-2010</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10.1.8 球形储罐在充水、放水过程中，应对基础的沉降进行观测，并应作实测记录，沉降观测及沉降量应符合下列规定。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4.3.16</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钢管除锈、刷漆检查记录。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10.2.1 涂料应有制造厂的质量合格文件。涂漆前应清除被涂表面的铁锈、焊渣、毛刺、油、水等污物。</w:t>
            </w:r>
          </w:p>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10.2.2 涂料的种类、涂敷次序、层数、各层的表干要求及施工的环境温度应按设计和所选涂料的产品规定进行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4.3.17</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电气仪表安装调试记录。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12.5.3 竣工资料的收集、整理工作应与工程建设过程同步，工程完工后应及时做好整理和移交工作。整体工程竣工资料宜包括下列内容：</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交工技术文件：</w:t>
            </w:r>
          </w:p>
          <w:p>
            <w:pPr>
              <w:keepNext w:val="0"/>
              <w:keepLines w:val="0"/>
              <w:pageBreakBefore w:val="0"/>
              <w:kinsoku/>
              <w:wordWrap/>
              <w:overflowPunct/>
              <w:topLinePunct w:val="0"/>
              <w:autoSpaceDE/>
              <w:autoSpaceDN/>
              <w:bidi w:val="0"/>
              <w:spacing w:line="260" w:lineRule="atLeast"/>
              <w:ind w:left="0"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6）施工记录：隐蔽工程记录、焊接记录、管道吹扫记录、强度和严密性试验记录、阀门试验记录、电气仪表工程的安装调试记录等。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4.3.18</w:t>
            </w:r>
          </w:p>
        </w:tc>
        <w:tc>
          <w:tcPr>
            <w:tcW w:w="125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施工记录</w:t>
            </w:r>
          </w:p>
        </w:tc>
        <w:tc>
          <w:tcPr>
            <w:tcW w:w="1119"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燃气报警控制系统调试记录。</w:t>
            </w:r>
          </w:p>
        </w:tc>
        <w:tc>
          <w:tcPr>
            <w:tcW w:w="4027"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《城镇燃气报警控制系统技术规程》</w:t>
            </w:r>
            <w:r>
              <w:rPr>
                <w:rFonts w:hint="eastAsia" w:ascii="宋体" w:hAnsi="宋体" w:eastAsia="宋体" w:cs="宋体"/>
                <w:color w:val="auto"/>
                <w:sz w:val="21"/>
                <w:szCs w:val="21"/>
                <w:highlight w:val="none"/>
                <w:lang w:eastAsia="zh-CN"/>
              </w:rPr>
              <w:t>CJJ/T</w:t>
            </w:r>
            <w:r>
              <w:rPr>
                <w:rFonts w:hint="eastAsia" w:ascii="宋体" w:hAnsi="宋体" w:eastAsia="宋体" w:cs="宋体"/>
                <w:color w:val="auto"/>
                <w:sz w:val="21"/>
                <w:szCs w:val="21"/>
                <w:highlight w:val="none"/>
              </w:rPr>
              <w:t>146-2011</w:t>
            </w:r>
          </w:p>
        </w:tc>
        <w:tc>
          <w:tcPr>
            <w:tcW w:w="11060" w:type="dxa"/>
            <w:vAlign w:val="center"/>
          </w:tcPr>
          <w:p>
            <w:pPr>
              <w:keepNext w:val="0"/>
              <w:keepLines w:val="0"/>
              <w:pageBreakBefore w:val="0"/>
              <w:kinsoku/>
              <w:wordWrap/>
              <w:overflowPunct/>
              <w:topLinePunct w:val="0"/>
              <w:autoSpaceDE/>
              <w:autoSpaceDN/>
              <w:bidi w:val="0"/>
              <w:spacing w:line="260" w:lineRule="atLeast"/>
              <w:ind w:lef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4.5.7 系统联调应符合下列规定：</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应按设计要求进行系统联调；</w:t>
            </w:r>
          </w:p>
          <w:p>
            <w:pPr>
              <w:keepNext w:val="0"/>
              <w:keepLines w:val="0"/>
              <w:pageBreakBefore w:val="0"/>
              <w:kinsoku/>
              <w:wordWrap/>
              <w:overflowPunct/>
              <w:topLinePunct w:val="0"/>
              <w:autoSpaceDE/>
              <w:autoSpaceDN/>
              <w:bidi w:val="0"/>
              <w:spacing w:line="260" w:lineRule="atLeast"/>
              <w:ind w:left="0" w:firstLine="210" w:firstLineChars="1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城镇燃气报警控制系统在连续正常运行120h后，应按本规程附录B的规定填写调试记录表。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4.4</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rPr>
              <w:t>质量验收记录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4.4.1</w:t>
            </w:r>
          </w:p>
        </w:tc>
        <w:tc>
          <w:tcPr>
            <w:tcW w:w="125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质量验收记录</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建设单位</w:t>
            </w:r>
          </w:p>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勘察单位</w:t>
            </w:r>
          </w:p>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设计单位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地基验槽记录。</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《建筑地基基础工程施工质量验收标准》</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50202-2018</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3.0.4 地基基础工程必须进行验槽，验槽检验要点应符合本标准附录A的规定。</w:t>
            </w:r>
          </w:p>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A.1.7 验槽完毕填写验槽记录或检验报告，对存在的问题或异常情况提出处理意见。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4.4.2</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质量验收记录</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隐蔽工程验收记录。</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《建筑工程施工质量验收统一标准》</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50300-2013</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3.0.6 建筑工程施工质量应按下列要求进行验收：</w:t>
            </w:r>
          </w:p>
          <w:p>
            <w:pPr>
              <w:keepNext w:val="0"/>
              <w:keepLines w:val="0"/>
              <w:pageBreakBefore w:val="0"/>
              <w:kinsoku/>
              <w:wordWrap/>
              <w:overflowPunct/>
              <w:topLinePunct w:val="0"/>
              <w:autoSpaceDE/>
              <w:autoSpaceDN/>
              <w:bidi w:val="0"/>
              <w:spacing w:line="260" w:lineRule="atLeast"/>
              <w:ind w:left="0" w:firstLine="210" w:firstLineChars="1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隐蔽工程在隐蔽前应由施工单位通知监理单位进行验收，并应形成验收文件，验收合格后方可继续施工；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12.5.3 竣工资料的收集、整理工作应与工程建设过程同步，工程完工后应及时做好整理和移交工作。整体工程竣工资料宜包括下列内容：</w:t>
            </w:r>
          </w:p>
          <w:p>
            <w:pPr>
              <w:keepNext w:val="0"/>
              <w:keepLines w:val="0"/>
              <w:pageBreakBefore w:val="0"/>
              <w:kinsoku/>
              <w:wordWrap/>
              <w:overflowPunct/>
              <w:topLinePunct w:val="0"/>
              <w:autoSpaceDE/>
              <w:autoSpaceDN/>
              <w:bidi w:val="0"/>
              <w:spacing w:line="260" w:lineRule="atLeast"/>
              <w:ind w:left="0" w:firstLine="210" w:firstLineChars="1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交工技术文件：</w:t>
            </w:r>
          </w:p>
          <w:p>
            <w:pPr>
              <w:keepNext w:val="0"/>
              <w:keepLines w:val="0"/>
              <w:pageBreakBefore w:val="0"/>
              <w:kinsoku/>
              <w:wordWrap/>
              <w:overflowPunct/>
              <w:topLinePunct w:val="0"/>
              <w:autoSpaceDE/>
              <w:autoSpaceDN/>
              <w:bidi w:val="0"/>
              <w:spacing w:line="260" w:lineRule="atLeast"/>
              <w:ind w:left="0"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6）施工记录：隐蔽工程记录、焊接记录、管道吹扫记录、强度和严密性试验记录、阀门试验记录、电气仪表工程的安装调试记录等。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4.4.3</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质量验收记录</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勘察单位</w:t>
            </w:r>
          </w:p>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设计单位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检验批、分项、子分部、分部工程验收记录。</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《建筑工程施工质量验收统一标准》</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50300-2013</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5.0.5 建筑工程施工质量验收记录可按下列规定填写：</w:t>
            </w:r>
          </w:p>
          <w:p>
            <w:pPr>
              <w:keepNext w:val="0"/>
              <w:keepLines w:val="0"/>
              <w:pageBreakBefore w:val="0"/>
              <w:kinsoku/>
              <w:wordWrap/>
              <w:overflowPunct/>
              <w:topLinePunct w:val="0"/>
              <w:autoSpaceDE/>
              <w:autoSpaceDN/>
              <w:bidi w:val="0"/>
              <w:spacing w:line="260" w:lineRule="atLeast"/>
              <w:ind w:left="0" w:firstLine="210" w:firstLineChars="1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检验批质量验收记录可按本标准附录E填写，填写时应具有现场验收检查原始记录；</w:t>
            </w:r>
          </w:p>
          <w:p>
            <w:pPr>
              <w:keepNext w:val="0"/>
              <w:keepLines w:val="0"/>
              <w:pageBreakBefore w:val="0"/>
              <w:kinsoku/>
              <w:wordWrap/>
              <w:overflowPunct/>
              <w:topLinePunct w:val="0"/>
              <w:autoSpaceDE/>
              <w:autoSpaceDN/>
              <w:bidi w:val="0"/>
              <w:spacing w:line="260" w:lineRule="atLeast"/>
              <w:ind w:left="0" w:firstLine="210" w:firstLineChars="1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分项工程质量验收记录可按本标准附录F填写；</w:t>
            </w:r>
          </w:p>
          <w:p>
            <w:pPr>
              <w:keepNext w:val="0"/>
              <w:keepLines w:val="0"/>
              <w:pageBreakBefore w:val="0"/>
              <w:kinsoku/>
              <w:wordWrap/>
              <w:overflowPunct/>
              <w:topLinePunct w:val="0"/>
              <w:autoSpaceDE/>
              <w:autoSpaceDN/>
              <w:bidi w:val="0"/>
              <w:spacing w:line="260" w:lineRule="atLeast"/>
              <w:ind w:left="0" w:firstLine="210" w:firstLineChars="1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分部工程质量验收记录可按本标准附录G填写；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3.3.2 工程质量验收应在施工单位自检合格的基础上，按分项、分部（子分部）、单位（子单位）工程进行。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4.4.4</w:t>
            </w:r>
          </w:p>
        </w:tc>
        <w:tc>
          <w:tcPr>
            <w:tcW w:w="125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质量验收记录</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单位工程质量控制资料核查记录。</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《建筑工程施工质量验收统一标准》</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50300-2013</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5.0.5 建筑工程施工质量验收记录可按下列规定填写：</w:t>
            </w:r>
          </w:p>
          <w:p>
            <w:pPr>
              <w:keepNext w:val="0"/>
              <w:keepLines w:val="0"/>
              <w:pageBreakBefore w:val="0"/>
              <w:kinsoku/>
              <w:wordWrap/>
              <w:overflowPunct/>
              <w:topLinePunct w:val="0"/>
              <w:autoSpaceDE/>
              <w:autoSpaceDN/>
              <w:bidi w:val="0"/>
              <w:spacing w:line="260" w:lineRule="atLeast"/>
              <w:ind w:left="0" w:firstLine="210" w:firstLineChars="1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单位工程质量竣工验收记录、质量控制资料核查记录、安全和功能检验资料核查及主要功能抽查记录、观感质量检查记录应按本标准附录H填写。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4.4.5</w:t>
            </w:r>
          </w:p>
        </w:tc>
        <w:tc>
          <w:tcPr>
            <w:tcW w:w="125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质量验收记录</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单位工程安全和功能检验资料</w:t>
            </w:r>
            <w:r>
              <w:rPr>
                <w:rFonts w:hint="eastAsia" w:ascii="宋体" w:hAnsi="宋体" w:eastAsia="宋体" w:cs="宋体"/>
                <w:color w:val="auto"/>
                <w:sz w:val="21"/>
                <w:szCs w:val="21"/>
                <w:highlight w:val="none"/>
                <w:lang w:eastAsia="zh-CN"/>
              </w:rPr>
              <w:t>核查</w:t>
            </w:r>
            <w:r>
              <w:rPr>
                <w:rFonts w:hint="eastAsia" w:ascii="宋体" w:hAnsi="宋体" w:eastAsia="宋体" w:cs="宋体"/>
                <w:color w:val="auto"/>
                <w:sz w:val="21"/>
                <w:szCs w:val="21"/>
                <w:highlight w:val="none"/>
              </w:rPr>
              <w:t>及主要功能抽查记录。</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《建筑工程施工质量验收统一标准》</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50300-2013</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5.0.5 建筑工程施工质量验收记录可按下列规定填写：</w:t>
            </w:r>
          </w:p>
          <w:p>
            <w:pPr>
              <w:keepNext w:val="0"/>
              <w:keepLines w:val="0"/>
              <w:pageBreakBefore w:val="0"/>
              <w:kinsoku/>
              <w:wordWrap/>
              <w:overflowPunct/>
              <w:topLinePunct w:val="0"/>
              <w:autoSpaceDE/>
              <w:autoSpaceDN/>
              <w:bidi w:val="0"/>
              <w:spacing w:line="260" w:lineRule="atLeast"/>
              <w:ind w:left="0" w:firstLine="210" w:firstLineChars="1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单位工程质量竣工验收记录、质量控制资料核查记录、安全和功能检验资料核查及主要功能抽查记录、观感质量检查记录应按本标准附录H填写。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4.4.6</w:t>
            </w:r>
          </w:p>
        </w:tc>
        <w:tc>
          <w:tcPr>
            <w:tcW w:w="125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质量验收记录</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p>
            <w:pPr>
              <w:pStyle w:val="2"/>
              <w:keepNext w:val="0"/>
              <w:keepLines w:val="0"/>
              <w:pageBreakBefore w:val="0"/>
              <w:kinsoku/>
              <w:wordWrap/>
              <w:overflowPunct/>
              <w:topLinePunct w:val="0"/>
              <w:autoSpaceDE/>
              <w:autoSpaceDN/>
              <w:bidi w:val="0"/>
              <w:spacing w:line="260" w:lineRule="atLeast"/>
              <w:ind w:left="0" w:leftChars="0" w:firstLine="0"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单位工程观感质量检查记录。</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《建筑工程施工质量验收统一标准》</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50300-2013</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3.0.6 建筑工程施工质量应按下列要求进行验收：</w:t>
            </w:r>
          </w:p>
          <w:p>
            <w:pPr>
              <w:keepNext w:val="0"/>
              <w:keepLines w:val="0"/>
              <w:pageBreakBefore w:val="0"/>
              <w:kinsoku/>
              <w:wordWrap/>
              <w:overflowPunct/>
              <w:topLinePunct w:val="0"/>
              <w:autoSpaceDE/>
              <w:autoSpaceDN/>
              <w:bidi w:val="0"/>
              <w:spacing w:line="260" w:lineRule="atLeast"/>
              <w:ind w:left="0" w:firstLine="210" w:firstLineChars="1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 工程的观感质量应由验收人员现场检查，并应共同确认。</w:t>
            </w:r>
          </w:p>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5.0.5 建筑工程施工质量验收记录可按下列规定填写：</w:t>
            </w:r>
          </w:p>
          <w:p>
            <w:pPr>
              <w:keepNext w:val="0"/>
              <w:keepLines w:val="0"/>
              <w:pageBreakBefore w:val="0"/>
              <w:kinsoku/>
              <w:wordWrap/>
              <w:overflowPunct/>
              <w:topLinePunct w:val="0"/>
              <w:autoSpaceDE/>
              <w:autoSpaceDN/>
              <w:bidi w:val="0"/>
              <w:spacing w:line="260" w:lineRule="atLeast"/>
              <w:ind w:left="0" w:firstLine="210" w:firstLineChars="1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单位工程质量竣工验收记录、质量控制资料核查记录、安全和功能检验资料核查及主要功能抽查记录、观感质量检查记录应按本标准附录H填写。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4.4.7</w:t>
            </w:r>
          </w:p>
        </w:tc>
        <w:tc>
          <w:tcPr>
            <w:tcW w:w="125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质量验收记录</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建设单位、施工单位</w:t>
            </w:r>
          </w:p>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监理单位、勘察、设计单位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单位工程质量竣工验收记录。</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《建筑工程施工质量验收统一标准》</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50300-2013</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5.0.5 建筑工程施工质量验收记录可按下列规定填写：</w:t>
            </w:r>
          </w:p>
          <w:p>
            <w:pPr>
              <w:keepNext w:val="0"/>
              <w:keepLines w:val="0"/>
              <w:pageBreakBefore w:val="0"/>
              <w:kinsoku/>
              <w:wordWrap/>
              <w:overflowPunct/>
              <w:topLinePunct w:val="0"/>
              <w:autoSpaceDE/>
              <w:autoSpaceDN/>
              <w:bidi w:val="0"/>
              <w:spacing w:line="260" w:lineRule="atLeast"/>
              <w:ind w:left="0" w:firstLine="210" w:firstLineChars="1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单位工程质量竣工验收记录、质量控制资料核查记录、安全和功能检验资料核查及主要功能抽查记录、观感质量检查记录应按本标准附录H填写。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4.4.8</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质量验收记录</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竣工报告。</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《建筑工程施工质量验收统一标准》</w:t>
            </w:r>
            <w:r>
              <w:rPr>
                <w:rFonts w:hint="eastAsia" w:ascii="宋体" w:hAnsi="宋体" w:eastAsia="宋体" w:cs="宋体"/>
                <w:color w:val="auto"/>
                <w:sz w:val="21"/>
                <w:szCs w:val="21"/>
                <w:highlight w:val="none"/>
                <w:lang w:eastAsia="zh-CN"/>
              </w:rPr>
              <w:t>GB</w:t>
            </w:r>
            <w:r>
              <w:rPr>
                <w:rFonts w:hint="eastAsia" w:ascii="宋体" w:hAnsi="宋体" w:eastAsia="宋体" w:cs="宋体"/>
                <w:color w:val="auto"/>
                <w:sz w:val="21"/>
                <w:szCs w:val="21"/>
                <w:highlight w:val="none"/>
              </w:rPr>
              <w:t>50300-2013</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6.0.5 单位工程完工后，施工单位应组织有关人员进行自检。总监理工程师应组织各专业监理工程师对工程质量进行竣工预验收。存在施工质量问题时，应由施工单位整改。整改完毕后，由施工单位向建设单位提交工程竣工报告，申请竣工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12.5.2 工程竣工验收的基本条件应符合下列要求：</w:t>
            </w:r>
          </w:p>
          <w:p>
            <w:pPr>
              <w:keepNext w:val="0"/>
              <w:keepLines w:val="0"/>
              <w:pageBreakBefore w:val="0"/>
              <w:kinsoku/>
              <w:wordWrap/>
              <w:overflowPunct/>
              <w:topLinePunct w:val="0"/>
              <w:autoSpaceDE/>
              <w:autoSpaceDN/>
              <w:bidi w:val="0"/>
              <w:spacing w:line="260" w:lineRule="atLeast"/>
              <w:ind w:left="0" w:firstLine="210" w:firstLineChars="1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施工单位在工程完工后对工程质量自检合格，并提出《工程竣工报告》。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《城镇燃气室内工程施工与质量验收规范》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94-2009</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8.4.1 施工单位在工程完工自检合格的基础上，监理单位应组织进行预验收。预验收合格后，施工单位应向建设单位提交竣工报告并申请进行竣工验收。建设单位应组织有关部门进行竣工验收。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《住房城乡建设部关于印发〈房屋建筑和市政基础设施工程竣工验收规定〉的通知》（建质〔2013〕171号）</w:t>
            </w:r>
            <w:r>
              <w:rPr>
                <w:rFonts w:hint="eastAsia" w:ascii="宋体" w:hAnsi="宋体" w:eastAsia="宋体" w:cs="宋体"/>
                <w:color w:val="auto"/>
                <w:sz w:val="21"/>
                <w:szCs w:val="21"/>
                <w:highlight w:val="none"/>
              </w:rPr>
              <w:t>》（建质[2013]171号）</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第五条 工程符合下列要求方可进行竣工验收：</w:t>
            </w:r>
          </w:p>
          <w:p>
            <w:pPr>
              <w:keepNext w:val="0"/>
              <w:keepLines w:val="0"/>
              <w:pageBreakBefore w:val="0"/>
              <w:kinsoku/>
              <w:wordWrap/>
              <w:overflowPunct/>
              <w:topLinePunct w:val="0"/>
              <w:autoSpaceDE/>
              <w:autoSpaceDN/>
              <w:bidi w:val="0"/>
              <w:spacing w:line="260" w:lineRule="atLeast"/>
              <w:ind w:left="0" w:firstLine="210" w:firstLineChars="1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二）施工单位在工程完工后对工程质量进行了检查，确认工程质量符合有关法律、法规和工程建设强制性标准，符合设计文件及合同要求，并提出工程竣工报告。工程竣工报告应经项目经理和施工单位有关负责人审核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4.4.9</w:t>
            </w:r>
          </w:p>
        </w:tc>
        <w:tc>
          <w:tcPr>
            <w:tcW w:w="1259"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质量验收记录</w:t>
            </w:r>
          </w:p>
        </w:tc>
        <w:tc>
          <w:tcPr>
            <w:tcW w:w="1119"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监理单位</w:t>
            </w:r>
          </w:p>
        </w:tc>
        <w:tc>
          <w:tcPr>
            <w:tcW w:w="2882" w:type="dxa"/>
            <w:vMerge w:val="restart"/>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工程质量评估报告。</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《城镇燃气输配工程施工及验收规范》</w:t>
            </w:r>
            <w:r>
              <w:rPr>
                <w:rFonts w:hint="eastAsia" w:ascii="宋体" w:hAnsi="宋体" w:eastAsia="宋体" w:cs="宋体"/>
                <w:color w:val="auto"/>
                <w:sz w:val="21"/>
                <w:szCs w:val="21"/>
                <w:highlight w:val="none"/>
                <w:lang w:eastAsia="zh-CN"/>
              </w:rPr>
              <w:t>CJJ</w:t>
            </w:r>
            <w:r>
              <w:rPr>
                <w:rFonts w:hint="eastAsia" w:ascii="宋体" w:hAnsi="宋体" w:eastAsia="宋体" w:cs="宋体"/>
                <w:color w:val="auto"/>
                <w:sz w:val="21"/>
                <w:szCs w:val="21"/>
                <w:highlight w:val="none"/>
              </w:rPr>
              <w:t>33-2005</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12.5.2 工程竣工验收的基本条件应符合下列要求：</w:t>
            </w:r>
          </w:p>
          <w:p>
            <w:pPr>
              <w:keepNext w:val="0"/>
              <w:keepLines w:val="0"/>
              <w:pageBreakBefore w:val="0"/>
              <w:kinsoku/>
              <w:wordWrap/>
              <w:overflowPunct/>
              <w:topLinePunct w:val="0"/>
              <w:autoSpaceDE/>
              <w:autoSpaceDN/>
              <w:bidi w:val="0"/>
              <w:spacing w:line="260" w:lineRule="atLeast"/>
              <w:ind w:left="0" w:firstLine="210" w:firstLineChars="1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监理单位对施工单位的工程质量自检结果予以确认并提出《工程质量评估报告》。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1259"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1119"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2882" w:type="dxa"/>
            <w:vMerge w:val="continue"/>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《住房城乡建设部关于印发〈房屋建筑和市政基础设施工程竣工验收规定〉的通知》（建质〔2013〕171号）</w:t>
            </w:r>
            <w:r>
              <w:rPr>
                <w:rFonts w:hint="eastAsia" w:ascii="宋体" w:hAnsi="宋体" w:eastAsia="宋体" w:cs="宋体"/>
                <w:color w:val="auto"/>
                <w:sz w:val="21"/>
                <w:szCs w:val="21"/>
                <w:highlight w:val="none"/>
              </w:rPr>
              <w:t>》（建质[2013]171号）</w:t>
            </w:r>
          </w:p>
        </w:tc>
        <w:tc>
          <w:tcPr>
            <w:tcW w:w="11060" w:type="dxa"/>
            <w:vAlign w:val="center"/>
          </w:tcPr>
          <w:p>
            <w:pPr>
              <w:keepNext w:val="0"/>
              <w:keepLines w:val="0"/>
              <w:pageBreakBefore w:val="0"/>
              <w:numPr>
                <w:ilvl w:val="0"/>
                <w:numId w:val="13"/>
              </w:numPr>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工程符合下列要求方可进行竣工验收：</w:t>
            </w:r>
          </w:p>
          <w:p>
            <w:pPr>
              <w:keepNext w:val="0"/>
              <w:keepLines w:val="0"/>
              <w:pageBreakBefore w:val="0"/>
              <w:kinsoku/>
              <w:wordWrap/>
              <w:overflowPunct/>
              <w:topLinePunct w:val="0"/>
              <w:autoSpaceDE/>
              <w:autoSpaceDN/>
              <w:bidi w:val="0"/>
              <w:spacing w:line="260" w:lineRule="atLeast"/>
              <w:ind w:left="0" w:firstLine="210" w:firstLineChars="1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（三）对于委托监理的工程项目，监理单位对工程进行了质量评估，具有完整的监理资料，并提出工程质量评估报告。工程质量评估报告应经总监理工程师和监理单位相关负责人审核签字。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4.4.10</w:t>
            </w:r>
          </w:p>
        </w:tc>
        <w:tc>
          <w:tcPr>
            <w:tcW w:w="125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质量验收记录</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勘察、设计单位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勘察、设计检查报告。</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《住房城乡建设部关于印发〈房屋建筑和市政基础设施工程竣工验收规定〉的通知》（建质〔2013〕171号）</w:t>
            </w:r>
            <w:r>
              <w:rPr>
                <w:rFonts w:hint="eastAsia" w:ascii="宋体" w:hAnsi="宋体" w:eastAsia="宋体" w:cs="宋体"/>
                <w:color w:val="auto"/>
                <w:sz w:val="21"/>
                <w:szCs w:val="21"/>
                <w:highlight w:val="none"/>
              </w:rPr>
              <w:t>》</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第五条 工程符合下列要求方可进行竣工验收：</w:t>
            </w:r>
          </w:p>
          <w:p>
            <w:pPr>
              <w:keepNext w:val="0"/>
              <w:keepLines w:val="0"/>
              <w:pageBreakBefore w:val="0"/>
              <w:kinsoku/>
              <w:wordWrap/>
              <w:overflowPunct/>
              <w:topLinePunct w:val="0"/>
              <w:autoSpaceDE/>
              <w:autoSpaceDN/>
              <w:bidi w:val="0"/>
              <w:spacing w:line="260" w:lineRule="atLeast"/>
              <w:ind w:left="0" w:firstLine="210" w:firstLineChars="1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（四）勘察、设计单位对勘察、设计文件及施工过程中由设计单位签署的设计变更通知书进行了检查，提出质量检查报告。质量检查报告应经该项目勘察、设计单位负责人和勘察、设计单位有关负责人审核签字。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4.4.11</w:t>
            </w:r>
          </w:p>
        </w:tc>
        <w:tc>
          <w:tcPr>
            <w:tcW w:w="125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质量验收记录</w:t>
            </w:r>
          </w:p>
        </w:tc>
        <w:tc>
          <w:tcPr>
            <w:tcW w:w="1119"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建设单位</w:t>
            </w:r>
          </w:p>
        </w:tc>
        <w:tc>
          <w:tcPr>
            <w:tcW w:w="2882"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竣工</w:t>
            </w:r>
            <w:r>
              <w:rPr>
                <w:rFonts w:hint="eastAsia" w:ascii="宋体" w:hAnsi="宋体" w:eastAsia="宋体" w:cs="宋体"/>
                <w:color w:val="auto"/>
                <w:sz w:val="21"/>
                <w:szCs w:val="21"/>
                <w:highlight w:val="none"/>
                <w:lang w:val="en-US" w:eastAsia="zh-CN"/>
              </w:rPr>
              <w:t>验收</w:t>
            </w:r>
            <w:r>
              <w:rPr>
                <w:rFonts w:hint="eastAsia" w:ascii="宋体" w:hAnsi="宋体" w:eastAsia="宋体" w:cs="宋体"/>
                <w:color w:val="auto"/>
                <w:sz w:val="21"/>
                <w:szCs w:val="21"/>
                <w:highlight w:val="none"/>
              </w:rPr>
              <w:t>报告。</w:t>
            </w:r>
          </w:p>
        </w:tc>
        <w:tc>
          <w:tcPr>
            <w:tcW w:w="4027" w:type="dxa"/>
            <w:vAlign w:val="center"/>
          </w:tcPr>
          <w:p>
            <w:pPr>
              <w:keepNext w:val="0"/>
              <w:keepLines w:val="0"/>
              <w:pageBreakBefore w:val="0"/>
              <w:kinsoku/>
              <w:wordWrap/>
              <w:overflowPunct/>
              <w:topLinePunct w:val="0"/>
              <w:autoSpaceDE/>
              <w:autoSpaceDN/>
              <w:bidi w:val="0"/>
              <w:spacing w:line="260" w:lineRule="atLeast"/>
              <w:ind w:left="0"/>
              <w:rPr>
                <w:rFonts w:hint="eastAsia"/>
                <w:highlight w:val="none"/>
                <w:lang w:eastAsia="zh-CN"/>
              </w:rPr>
            </w:pPr>
            <w:r>
              <w:rPr>
                <w:rFonts w:hint="eastAsia" w:ascii="宋体" w:hAnsi="宋体" w:eastAsia="宋体" w:cs="宋体"/>
                <w:color w:val="auto"/>
                <w:sz w:val="21"/>
                <w:szCs w:val="21"/>
                <w:highlight w:val="none"/>
                <w:lang w:val="en-US" w:eastAsia="zh-CN"/>
              </w:rPr>
              <w:t>《住房城乡建设部关于印发〈房屋建筑和市政基础设施工程竣工验收规定〉的通知》</w:t>
            </w:r>
            <w:r>
              <w:rPr>
                <w:rFonts w:hint="eastAsia" w:ascii="宋体" w:hAnsi="宋体" w:eastAsia="宋体" w:cs="宋体"/>
                <w:color w:val="auto"/>
                <w:sz w:val="21"/>
                <w:szCs w:val="21"/>
                <w:highlight w:val="none"/>
              </w:rPr>
              <w:t>（建质〔</w:t>
            </w:r>
            <w:r>
              <w:rPr>
                <w:rFonts w:hint="eastAsia" w:ascii="宋体" w:hAnsi="宋体" w:eastAsia="宋体" w:cs="宋体"/>
                <w:color w:val="auto"/>
                <w:sz w:val="21"/>
                <w:szCs w:val="21"/>
                <w:highlight w:val="none"/>
              </w:rPr>
              <w:t>2013〕</w:t>
            </w:r>
            <w:r>
              <w:rPr>
                <w:rFonts w:hint="eastAsia" w:ascii="宋体" w:hAnsi="宋体" w:eastAsia="宋体" w:cs="宋体"/>
                <w:color w:val="auto"/>
                <w:sz w:val="21"/>
                <w:szCs w:val="21"/>
                <w:highlight w:val="none"/>
              </w:rPr>
              <w:t>171号）</w:t>
            </w:r>
          </w:p>
        </w:tc>
        <w:tc>
          <w:tcPr>
            <w:tcW w:w="11060"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第七条 工程竣工验收合格后，建设单位应当及时提出工程竣工验收报告。工程竣工验收报告主要包括工程概况，建设单位执行基本建设程序情况，对工程勘察、设计、施工、监理等方面的评价，工程竣工验收时间、程序、内容和组织形式，工程竣工验收意见等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5</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本实施细则是根据法律法规、国家有关规定和工程建设强制性标准制定，用于规范企业及项目质量行为、提升质量管理水平，工程建设各方主体必须遵照执行。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本细则所列内容仅代表基础性要求，工程建设各方主体在执行本细则外，还应执行工程建设法律法规、国家有关规定和相关工程技术标准要求。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5.3</w:t>
            </w:r>
          </w:p>
        </w:tc>
        <w:tc>
          <w:tcPr>
            <w:tcW w:w="20347" w:type="dxa"/>
            <w:gridSpan w:val="5"/>
            <w:vAlign w:val="center"/>
          </w:tcPr>
          <w:p>
            <w:pPr>
              <w:keepNext w:val="0"/>
              <w:keepLines w:val="0"/>
              <w:pageBreakBefore w:val="0"/>
              <w:kinsoku/>
              <w:wordWrap/>
              <w:overflowPunct/>
              <w:topLinePunct w:val="0"/>
              <w:autoSpaceDE/>
              <w:autoSpaceDN/>
              <w:bidi w:val="0"/>
              <w:spacing w:line="260" w:lineRule="atLeast"/>
              <w:ind w:left="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各企业应在住房城乡建设部《工程质量安全手册》和本细则的基础上，制定具有企业特色的标准化质量手册。</w:t>
            </w:r>
          </w:p>
        </w:tc>
      </w:tr>
    </w:tbl>
    <w:p>
      <w:pPr>
        <w:rPr>
          <w:rFonts w:hint="eastAsia" w:ascii="宋体" w:hAnsi="宋体" w:eastAsia="宋体" w:cs="宋体"/>
          <w:color w:val="auto"/>
          <w:sz w:val="21"/>
          <w:szCs w:val="21"/>
          <w:highlight w:val="none"/>
        </w:rPr>
      </w:pPr>
    </w:p>
    <w:p>
      <w:pPr>
        <w:rPr>
          <w:rFonts w:hint="eastAsia" w:ascii="宋体" w:hAnsi="宋体" w:eastAsia="宋体" w:cs="宋体"/>
          <w:color w:val="auto"/>
          <w:sz w:val="21"/>
          <w:szCs w:val="21"/>
          <w:highlight w:val="none"/>
        </w:rPr>
      </w:pPr>
    </w:p>
    <w:sectPr>
      <w:footerReference r:id="rId7" w:type="default"/>
      <w:type w:val="continuous"/>
      <w:pgSz w:w="23814" w:h="16839" w:orient="landscape"/>
      <w:pgMar w:top="1418" w:right="1418" w:bottom="1134" w:left="1418" w:header="851" w:footer="1021"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20024FF" w:usb2="02000000"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embedRegular r:id="rId1" w:fontKey="{15FD7AA7-E315-4E7C-A1A0-A333A8353EB8}"/>
  </w:font>
  <w:font w:name="方正楷体_GBK">
    <w:panose1 w:val="02000000000000000000"/>
    <w:charset w:val="86"/>
    <w:family w:val="script"/>
    <w:pitch w:val="default"/>
    <w:sig w:usb0="800002BF" w:usb1="38CF7CFA" w:usb2="00000016" w:usb3="00000000" w:csb0="00040000" w:csb1="00000000"/>
    <w:embedRegular r:id="rId2" w:fontKey="{D685AC1D-E667-4EDC-8AE5-A9EC7456AFE3}"/>
  </w:font>
  <w:font w:name="方正黑体_GBK">
    <w:altName w:val="微软雅黑"/>
    <w:panose1 w:val="00000000000000000000"/>
    <w:charset w:val="86"/>
    <w:family w:val="script"/>
    <w:pitch w:val="default"/>
    <w:sig w:usb0="00000000" w:usb1="00000000" w:usb2="00000010" w:usb3="00000000" w:csb0="00040000" w:csb1="00000000"/>
    <w:embedRegular r:id="rId3" w:fontKey="{31DDA4B4-D4D7-4240-B3AF-BC11E8D5EA25}"/>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pStyle w:val="14"/>
                          </w:pPr>
                          <w:r>
                            <w:t xml:space="preserve">— </w:t>
                          </w:r>
                          <w:r>
                            <w:fldChar w:fldCharType="begin"/>
                          </w:r>
                          <w:r>
                            <w:instrText xml:space="preserve"> PAGE  \* MERGEFORMAT </w:instrText>
                          </w:r>
                          <w:r>
                            <w:fldChar w:fldCharType="separate"/>
                          </w:r>
                          <w:r>
                            <w:t>1</w:t>
                          </w:r>
                          <w:r>
                            <w:fldChar w:fldCharType="end"/>
                          </w:r>
                          <w:r>
                            <w:t xml:space="preserve"> —</w:t>
                          </w:r>
                        </w:p>
                      </w:txbxContent>
                    </wps:txbx>
                    <wps:bodyPr wrap="none" lIns="0" tIns="0" rIns="0" bIns="0" upright="1">
                      <a:spAutoFit/>
                    </wps:bodyPr>
                  </wps:wsp>
                </a:graphicData>
              </a:graphic>
            </wp:anchor>
          </w:drawing>
        </mc:Choice>
        <mc:Fallback>
          <w:pict>
            <v:shape id="文本框 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LNJWO7QAAAABQEAAA8AAAAAAAAAAQAgAAAAIgAAAGRycy9k&#10;b3ducmV2LnhtbFBLAQIUABQAAAAIAIdO4kBCzlv/0QEAAKMDAAAOAAAAAAAAAAEAIAAAAB8BAABk&#10;cnMvZTJvRG9jLnhtbFBLBQYAAAAABgAGAFkBAABiBQAAAAA=&#10;">
              <v:fill on="f" focussize="0,0"/>
              <v:stroke on="f" weight="0.5pt"/>
              <v:imagedata o:title=""/>
              <o:lock v:ext="edit" aspectratio="f"/>
              <v:textbox inset="0mm,0mm,0mm,0mm" style="mso-fit-shape-to-text:t;">
                <w:txbxContent>
                  <w:p>
                    <w:pPr>
                      <w:pStyle w:val="14"/>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pPr>
    <w:r>
      <mc:AlternateContent>
        <mc:Choice Requires="wps">
          <w:drawing>
            <wp:anchor distT="0" distB="0" distL="114300" distR="114300" simplePos="0" relativeHeight="251664384" behindDoc="0" locked="0" layoutInCell="1" allowOverlap="1">
              <wp:simplePos x="0" y="0"/>
              <wp:positionH relativeFrom="margin">
                <wp:posOffset>6417310</wp:posOffset>
              </wp:positionH>
              <wp:positionV relativeFrom="paragraph">
                <wp:posOffset>0</wp:posOffset>
              </wp:positionV>
              <wp:extent cx="486410" cy="1828800"/>
              <wp:effectExtent l="0" t="0" r="0" b="0"/>
              <wp:wrapNone/>
              <wp:docPr id="12" name="文本框 10"/>
              <wp:cNvGraphicFramePr/>
              <a:graphic xmlns:a="http://schemas.openxmlformats.org/drawingml/2006/main">
                <a:graphicData uri="http://schemas.microsoft.com/office/word/2010/wordprocessingShape">
                  <wps:wsp>
                    <wps:cNvSpPr txBox="1"/>
                    <wps:spPr>
                      <a:xfrm>
                        <a:off x="0" y="0"/>
                        <a:ext cx="486410" cy="1828800"/>
                      </a:xfrm>
                      <a:prstGeom prst="rect">
                        <a:avLst/>
                      </a:prstGeom>
                      <a:noFill/>
                      <a:ln w="6350">
                        <a:noFill/>
                      </a:ln>
                    </wps:spPr>
                    <wps:txbx>
                      <w:txbxContent>
                        <w:p>
                          <w:r>
                            <w:t xml:space="preserve">— </w:t>
                          </w:r>
                          <w:r>
                            <w:fldChar w:fldCharType="begin"/>
                          </w:r>
                          <w:r>
                            <w:instrText xml:space="preserve"> PAGE  \* MERGEFORMAT </w:instrText>
                          </w:r>
                          <w:r>
                            <w:fldChar w:fldCharType="separate"/>
                          </w:r>
                          <w:r>
                            <w:t>67</w:t>
                          </w:r>
                          <w:r>
                            <w:fldChar w:fldCharType="end"/>
                          </w:r>
                          <w:r>
                            <w:t xml:space="preserve"> —</w:t>
                          </w:r>
                        </w:p>
                      </w:txbxContent>
                    </wps:txbx>
                    <wps:bodyPr wrap="square" lIns="0" tIns="0" rIns="0" bIns="0" upright="1">
                      <a:spAutoFit/>
                    </wps:bodyPr>
                  </wps:wsp>
                </a:graphicData>
              </a:graphic>
            </wp:anchor>
          </w:drawing>
        </mc:Choice>
        <mc:Fallback>
          <w:pict>
            <v:shape id="文本框 10" o:spid="_x0000_s1026" o:spt="202" type="#_x0000_t202" style="position:absolute;left:0pt;margin-left:505.3pt;margin-top:0pt;height:144pt;width:38.3pt;mso-position-horizontal-relative:margin;z-index:251664384;mso-width-relative:page;mso-height-relative:page;" filled="f" stroked="f" coordsize="21600,21600" o:gfxdata="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Ar8Qon1gAAAAoBAAAPAAAAAAAAAAEA&#10;IAAAACIAAABkcnMvZG93bnJldi54bWxQSwECFAAUAAAACACHTuJAefZ+79gBAAClAwAADgAAAAAA&#10;AAABACAAAAAlAQAAZHJzL2Uyb0RvYy54bWxQSwUGAAAAAAYABgBZAQAAbwUAAAAA&#10;">
              <v:fill on="f" focussize="0,0"/>
              <v:stroke on="f" weight="0.5pt"/>
              <v:imagedata o:title=""/>
              <o:lock v:ext="edit" aspectratio="f"/>
              <v:textbox inset="0mm,0mm,0mm,0mm" style="mso-fit-shape-to-text:t;">
                <w:txbxContent>
                  <w:p>
                    <w:r>
                      <w:t xml:space="preserve">— </w:t>
                    </w:r>
                    <w:r>
                      <w:fldChar w:fldCharType="begin"/>
                    </w:r>
                    <w:r>
                      <w:instrText xml:space="preserve"> PAGE  \* MERGEFORMAT </w:instrText>
                    </w:r>
                    <w:r>
                      <w:fldChar w:fldCharType="separate"/>
                    </w:r>
                    <w:r>
                      <w:t>67</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top w:val="none" w:color="auto" w:sz="0" w:space="0"/>
        <w:left w:val="none" w:color="auto" w:sz="0" w:space="0"/>
        <w:bottom w:val="none" w:color="auto" w:sz="0" w:space="1"/>
        <w:right w:val="none" w:color="auto" w:sz="0" w:space="0"/>
        <w:between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03D958"/>
    <w:multiLevelType w:val="singleLevel"/>
    <w:tmpl w:val="9203D958"/>
    <w:lvl w:ilvl="0" w:tentative="0">
      <w:start w:val="5"/>
      <w:numFmt w:val="chineseCounting"/>
      <w:suff w:val="nothing"/>
      <w:lvlText w:val="（%1）"/>
      <w:lvlJc w:val="left"/>
      <w:rPr>
        <w:rFonts w:hint="eastAsia" w:cs="Times New Roman"/>
      </w:rPr>
    </w:lvl>
  </w:abstractNum>
  <w:abstractNum w:abstractNumId="1">
    <w:nsid w:val="ADE1056A"/>
    <w:multiLevelType w:val="singleLevel"/>
    <w:tmpl w:val="ADE1056A"/>
    <w:lvl w:ilvl="0" w:tentative="0">
      <w:start w:val="1"/>
      <w:numFmt w:val="decimal"/>
      <w:suff w:val="nothing"/>
      <w:lvlText w:val="%1）"/>
      <w:lvlJc w:val="left"/>
    </w:lvl>
  </w:abstractNum>
  <w:abstractNum w:abstractNumId="2">
    <w:nsid w:val="C7194AEA"/>
    <w:multiLevelType w:val="singleLevel"/>
    <w:tmpl w:val="C7194AEA"/>
    <w:lvl w:ilvl="0" w:tentative="0">
      <w:start w:val="1"/>
      <w:numFmt w:val="decimal"/>
      <w:suff w:val="nothing"/>
      <w:lvlText w:val="%1）"/>
      <w:lvlJc w:val="left"/>
    </w:lvl>
  </w:abstractNum>
  <w:abstractNum w:abstractNumId="3">
    <w:nsid w:val="C7714F13"/>
    <w:multiLevelType w:val="singleLevel"/>
    <w:tmpl w:val="C7714F13"/>
    <w:lvl w:ilvl="0" w:tentative="0">
      <w:start w:val="1"/>
      <w:numFmt w:val="decimal"/>
      <w:suff w:val="nothing"/>
      <w:lvlText w:val="%1）"/>
      <w:lvlJc w:val="left"/>
      <w:pPr>
        <w:ind w:left="210"/>
      </w:pPr>
    </w:lvl>
  </w:abstractNum>
  <w:abstractNum w:abstractNumId="4">
    <w:nsid w:val="CE6B4BB8"/>
    <w:multiLevelType w:val="multilevel"/>
    <w:tmpl w:val="CE6B4BB8"/>
    <w:lvl w:ilvl="0" w:tentative="0">
      <w:start w:val="1"/>
      <w:numFmt w:val="decimal"/>
      <w:pStyle w:val="4"/>
      <w:isLgl/>
      <w:lvlText w:val="%1."/>
      <w:lvlJc w:val="left"/>
      <w:pPr>
        <w:ind w:left="425" w:hanging="425"/>
      </w:pPr>
      <w:rPr>
        <w:rFonts w:hint="default" w:ascii="黑体" w:hAnsi="黑体" w:eastAsia="宋体" w:cs="宋体"/>
      </w:rPr>
    </w:lvl>
    <w:lvl w:ilvl="1" w:tentative="0">
      <w:start w:val="1"/>
      <w:numFmt w:val="decimal"/>
      <w:isLgl/>
      <w:lvlText w:val="%1.%2  "/>
      <w:lvlJc w:val="left"/>
      <w:pPr>
        <w:ind w:left="567" w:hanging="567"/>
      </w:pPr>
      <w:rPr>
        <w:rFonts w:hint="default" w:ascii="黑体" w:hAnsi="黑体" w:eastAsia="宋体" w:cs="宋体"/>
        <w:b/>
        <w:sz w:val="24"/>
      </w:rPr>
    </w:lvl>
    <w:lvl w:ilvl="2" w:tentative="0">
      <w:start w:val="1"/>
      <w:numFmt w:val="decimal"/>
      <w:isLgl/>
      <w:lvlText w:val="%1.%2.%3."/>
      <w:lvlJc w:val="left"/>
      <w:pPr>
        <w:ind w:left="709" w:hanging="709"/>
      </w:pPr>
      <w:rPr>
        <w:rFonts w:hint="default" w:ascii="黑体" w:hAnsi="黑体" w:eastAsia="宋体" w:cs="宋体"/>
        <w:b/>
        <w:sz w:val="24"/>
      </w:rPr>
    </w:lvl>
    <w:lvl w:ilvl="3" w:tentative="0">
      <w:start w:val="1"/>
      <w:numFmt w:val="decimal"/>
      <w:isLgl/>
      <w:lvlText w:val="%1.%2.%3.%4."/>
      <w:lvlJc w:val="left"/>
      <w:pPr>
        <w:ind w:left="850" w:hanging="850"/>
      </w:pPr>
      <w:rPr>
        <w:rFonts w:hint="default" w:ascii="宋体" w:hAnsi="宋体" w:eastAsia="宋体" w:cs="宋体"/>
        <w:b/>
        <w:sz w:val="24"/>
      </w:rPr>
    </w:lvl>
    <w:lvl w:ilvl="4" w:tentative="0">
      <w:start w:val="1"/>
      <w:numFmt w:val="decimal"/>
      <w:lvlText w:val="%1.%2.%3.%4.%5."/>
      <w:lvlJc w:val="left"/>
      <w:pPr>
        <w:ind w:left="991" w:hanging="991"/>
      </w:pPr>
      <w:rPr>
        <w:rFonts w:hint="default" w:cs="Times New Roman"/>
      </w:rPr>
    </w:lvl>
    <w:lvl w:ilvl="5" w:tentative="0">
      <w:start w:val="1"/>
      <w:numFmt w:val="decimal"/>
      <w:lvlText w:val="%1.%2.%3.%4.%5.%6."/>
      <w:lvlJc w:val="left"/>
      <w:pPr>
        <w:ind w:left="1134" w:hanging="1134"/>
      </w:pPr>
      <w:rPr>
        <w:rFonts w:hint="default" w:cs="Times New Roman"/>
      </w:rPr>
    </w:lvl>
    <w:lvl w:ilvl="6" w:tentative="0">
      <w:start w:val="1"/>
      <w:numFmt w:val="decimal"/>
      <w:lvlText w:val="%1.%2.%3.%4.%5.%6.%7."/>
      <w:lvlJc w:val="left"/>
      <w:pPr>
        <w:ind w:left="1275" w:hanging="1275"/>
      </w:pPr>
      <w:rPr>
        <w:rFonts w:hint="default" w:cs="Times New Roman"/>
      </w:rPr>
    </w:lvl>
    <w:lvl w:ilvl="7" w:tentative="0">
      <w:start w:val="1"/>
      <w:numFmt w:val="decimal"/>
      <w:lvlText w:val="%1.%2.%3.%4.%5.%6.%7.%8."/>
      <w:lvlJc w:val="left"/>
      <w:pPr>
        <w:ind w:left="1418" w:hanging="1418"/>
      </w:pPr>
      <w:rPr>
        <w:rFonts w:hint="default" w:cs="Times New Roman"/>
      </w:rPr>
    </w:lvl>
    <w:lvl w:ilvl="8" w:tentative="0">
      <w:start w:val="1"/>
      <w:numFmt w:val="decimal"/>
      <w:lvlText w:val="%1.%2.%3.%4.%5.%6.%7.%8.%9."/>
      <w:lvlJc w:val="left"/>
      <w:pPr>
        <w:ind w:left="1558" w:hanging="1558"/>
      </w:pPr>
      <w:rPr>
        <w:rFonts w:hint="default" w:cs="Times New Roman"/>
      </w:rPr>
    </w:lvl>
  </w:abstractNum>
  <w:abstractNum w:abstractNumId="5">
    <w:nsid w:val="D3210C51"/>
    <w:multiLevelType w:val="singleLevel"/>
    <w:tmpl w:val="D3210C51"/>
    <w:lvl w:ilvl="0" w:tentative="0">
      <w:start w:val="1"/>
      <w:numFmt w:val="decimal"/>
      <w:suff w:val="nothing"/>
      <w:lvlText w:val="%1）"/>
      <w:lvlJc w:val="left"/>
      <w:pPr>
        <w:ind w:left="210"/>
      </w:pPr>
    </w:lvl>
  </w:abstractNum>
  <w:abstractNum w:abstractNumId="6">
    <w:nsid w:val="0DB74B1F"/>
    <w:multiLevelType w:val="singleLevel"/>
    <w:tmpl w:val="0DB74B1F"/>
    <w:lvl w:ilvl="0" w:tentative="0">
      <w:start w:val="7"/>
      <w:numFmt w:val="chineseCounting"/>
      <w:suff w:val="space"/>
      <w:lvlText w:val="第%1条"/>
      <w:lvlJc w:val="left"/>
      <w:rPr>
        <w:rFonts w:hint="eastAsia"/>
      </w:rPr>
    </w:lvl>
  </w:abstractNum>
  <w:abstractNum w:abstractNumId="7">
    <w:nsid w:val="31D7AB0F"/>
    <w:multiLevelType w:val="singleLevel"/>
    <w:tmpl w:val="31D7AB0F"/>
    <w:lvl w:ilvl="0" w:tentative="0">
      <w:start w:val="1"/>
      <w:numFmt w:val="decimal"/>
      <w:suff w:val="space"/>
      <w:lvlText w:val="%1)"/>
      <w:lvlJc w:val="left"/>
    </w:lvl>
  </w:abstractNum>
  <w:abstractNum w:abstractNumId="8">
    <w:nsid w:val="37E47E81"/>
    <w:multiLevelType w:val="singleLevel"/>
    <w:tmpl w:val="37E47E81"/>
    <w:lvl w:ilvl="0" w:tentative="0">
      <w:start w:val="1"/>
      <w:numFmt w:val="lowerLetter"/>
      <w:suff w:val="space"/>
      <w:lvlText w:val="%1)"/>
      <w:lvlJc w:val="left"/>
    </w:lvl>
  </w:abstractNum>
  <w:abstractNum w:abstractNumId="9">
    <w:nsid w:val="38AAAEA5"/>
    <w:multiLevelType w:val="singleLevel"/>
    <w:tmpl w:val="38AAAEA5"/>
    <w:lvl w:ilvl="0" w:tentative="0">
      <w:start w:val="1"/>
      <w:numFmt w:val="decimal"/>
      <w:suff w:val="space"/>
      <w:lvlText w:val="%1)"/>
      <w:lvlJc w:val="left"/>
      <w:pPr>
        <w:ind w:left="-60"/>
      </w:pPr>
    </w:lvl>
  </w:abstractNum>
  <w:abstractNum w:abstractNumId="10">
    <w:nsid w:val="4751B65C"/>
    <w:multiLevelType w:val="singleLevel"/>
    <w:tmpl w:val="4751B65C"/>
    <w:lvl w:ilvl="0" w:tentative="0">
      <w:start w:val="1"/>
      <w:numFmt w:val="decimal"/>
      <w:suff w:val="nothing"/>
      <w:lvlText w:val="%1）"/>
      <w:lvlJc w:val="left"/>
    </w:lvl>
  </w:abstractNum>
  <w:abstractNum w:abstractNumId="11">
    <w:nsid w:val="51D37F1D"/>
    <w:multiLevelType w:val="singleLevel"/>
    <w:tmpl w:val="51D37F1D"/>
    <w:lvl w:ilvl="0" w:tentative="0">
      <w:start w:val="5"/>
      <w:numFmt w:val="chineseCounting"/>
      <w:suff w:val="space"/>
      <w:lvlText w:val="第%1条"/>
      <w:lvlJc w:val="left"/>
      <w:rPr>
        <w:rFonts w:hint="eastAsia"/>
      </w:rPr>
    </w:lvl>
  </w:abstractNum>
  <w:abstractNum w:abstractNumId="12">
    <w:nsid w:val="74A03011"/>
    <w:multiLevelType w:val="singleLevel"/>
    <w:tmpl w:val="74A03011"/>
    <w:lvl w:ilvl="0" w:tentative="0">
      <w:start w:val="18"/>
      <w:numFmt w:val="chineseCounting"/>
      <w:suff w:val="space"/>
      <w:lvlText w:val="第%1条"/>
      <w:lvlJc w:val="left"/>
      <w:rPr>
        <w:rFonts w:hint="eastAsia"/>
      </w:rPr>
    </w:lvl>
  </w:abstractNum>
  <w:num w:numId="1">
    <w:abstractNumId w:val="4"/>
  </w:num>
  <w:num w:numId="2">
    <w:abstractNumId w:val="6"/>
  </w:num>
  <w:num w:numId="3">
    <w:abstractNumId w:val="0"/>
  </w:num>
  <w:num w:numId="4">
    <w:abstractNumId w:val="12"/>
  </w:num>
  <w:num w:numId="5">
    <w:abstractNumId w:val="9"/>
  </w:num>
  <w:num w:numId="6">
    <w:abstractNumId w:val="8"/>
  </w:num>
  <w:num w:numId="7">
    <w:abstractNumId w:val="3"/>
  </w:num>
  <w:num w:numId="8">
    <w:abstractNumId w:val="5"/>
  </w:num>
  <w:num w:numId="9">
    <w:abstractNumId w:val="10"/>
  </w:num>
  <w:num w:numId="10">
    <w:abstractNumId w:val="7"/>
  </w:num>
  <w:num w:numId="11">
    <w:abstractNumId w:val="2"/>
  </w:num>
  <w:num w:numId="12">
    <w:abstractNumId w:val="1"/>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80"/>
  <w:drawingGridHorizontalSpacing w:val="2"/>
  <w:drawingGridVerticalSpacing w:val="3"/>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NjZWJjYzI1NmQ4MDVjZWFjZTlhNWQxMjBmNjBiMDUifQ=="/>
  </w:docVars>
  <w:rsids>
    <w:rsidRoot w:val="00AB6879"/>
    <w:rsid w:val="00006CF9"/>
    <w:rsid w:val="00010C2C"/>
    <w:rsid w:val="000169D7"/>
    <w:rsid w:val="00020C37"/>
    <w:rsid w:val="00030624"/>
    <w:rsid w:val="00040CE5"/>
    <w:rsid w:val="0004702E"/>
    <w:rsid w:val="000476EC"/>
    <w:rsid w:val="00047FDA"/>
    <w:rsid w:val="000522F1"/>
    <w:rsid w:val="00054FE3"/>
    <w:rsid w:val="00063947"/>
    <w:rsid w:val="0006680B"/>
    <w:rsid w:val="00067313"/>
    <w:rsid w:val="00076444"/>
    <w:rsid w:val="00083A00"/>
    <w:rsid w:val="000858A3"/>
    <w:rsid w:val="00087ED3"/>
    <w:rsid w:val="00094FF9"/>
    <w:rsid w:val="00097F82"/>
    <w:rsid w:val="000A081D"/>
    <w:rsid w:val="000A188E"/>
    <w:rsid w:val="000A1BF0"/>
    <w:rsid w:val="000B1202"/>
    <w:rsid w:val="000B3F51"/>
    <w:rsid w:val="000C00E4"/>
    <w:rsid w:val="000C4727"/>
    <w:rsid w:val="000C4902"/>
    <w:rsid w:val="000C530F"/>
    <w:rsid w:val="000D16F0"/>
    <w:rsid w:val="000E088D"/>
    <w:rsid w:val="000E2B1F"/>
    <w:rsid w:val="000E6DB3"/>
    <w:rsid w:val="000E7178"/>
    <w:rsid w:val="000F09EC"/>
    <w:rsid w:val="000F1778"/>
    <w:rsid w:val="00100C7E"/>
    <w:rsid w:val="00104CE9"/>
    <w:rsid w:val="0011507B"/>
    <w:rsid w:val="001157F6"/>
    <w:rsid w:val="00121A16"/>
    <w:rsid w:val="00122C21"/>
    <w:rsid w:val="00124B5B"/>
    <w:rsid w:val="00125237"/>
    <w:rsid w:val="00126471"/>
    <w:rsid w:val="001270AE"/>
    <w:rsid w:val="0014142B"/>
    <w:rsid w:val="00152C1E"/>
    <w:rsid w:val="0015722F"/>
    <w:rsid w:val="00157375"/>
    <w:rsid w:val="001578A7"/>
    <w:rsid w:val="00157CA1"/>
    <w:rsid w:val="00167AB9"/>
    <w:rsid w:val="00167E6F"/>
    <w:rsid w:val="00170BE2"/>
    <w:rsid w:val="00170E21"/>
    <w:rsid w:val="001711B7"/>
    <w:rsid w:val="00171BC5"/>
    <w:rsid w:val="001808AE"/>
    <w:rsid w:val="00180D31"/>
    <w:rsid w:val="00182989"/>
    <w:rsid w:val="00183408"/>
    <w:rsid w:val="00185DB2"/>
    <w:rsid w:val="001900CA"/>
    <w:rsid w:val="00191F70"/>
    <w:rsid w:val="001B44F6"/>
    <w:rsid w:val="001B7F7A"/>
    <w:rsid w:val="001C3084"/>
    <w:rsid w:val="001C7D51"/>
    <w:rsid w:val="001D0FAA"/>
    <w:rsid w:val="001D258C"/>
    <w:rsid w:val="001D41F0"/>
    <w:rsid w:val="001E7AE3"/>
    <w:rsid w:val="001F00FC"/>
    <w:rsid w:val="001F0485"/>
    <w:rsid w:val="002014CA"/>
    <w:rsid w:val="00206FC4"/>
    <w:rsid w:val="00212487"/>
    <w:rsid w:val="0022181C"/>
    <w:rsid w:val="00222E97"/>
    <w:rsid w:val="002254FA"/>
    <w:rsid w:val="0023368B"/>
    <w:rsid w:val="00234640"/>
    <w:rsid w:val="00234832"/>
    <w:rsid w:val="00237A6E"/>
    <w:rsid w:val="00266763"/>
    <w:rsid w:val="0026741A"/>
    <w:rsid w:val="00267FEF"/>
    <w:rsid w:val="0027245E"/>
    <w:rsid w:val="00273A6D"/>
    <w:rsid w:val="002740AE"/>
    <w:rsid w:val="00274A3A"/>
    <w:rsid w:val="00274B24"/>
    <w:rsid w:val="00275751"/>
    <w:rsid w:val="002817C2"/>
    <w:rsid w:val="00285280"/>
    <w:rsid w:val="00286C68"/>
    <w:rsid w:val="00286E0C"/>
    <w:rsid w:val="00287D4B"/>
    <w:rsid w:val="00287DE2"/>
    <w:rsid w:val="00292245"/>
    <w:rsid w:val="00293237"/>
    <w:rsid w:val="00294788"/>
    <w:rsid w:val="00295D0B"/>
    <w:rsid w:val="002A47B5"/>
    <w:rsid w:val="002A5395"/>
    <w:rsid w:val="002B13D2"/>
    <w:rsid w:val="002C73EE"/>
    <w:rsid w:val="002D02E2"/>
    <w:rsid w:val="002D4264"/>
    <w:rsid w:val="002D5A70"/>
    <w:rsid w:val="002D6DDB"/>
    <w:rsid w:val="002E063A"/>
    <w:rsid w:val="002E15A1"/>
    <w:rsid w:val="002E6B48"/>
    <w:rsid w:val="002E7B41"/>
    <w:rsid w:val="002F041A"/>
    <w:rsid w:val="00300D14"/>
    <w:rsid w:val="003035C0"/>
    <w:rsid w:val="003123DA"/>
    <w:rsid w:val="00312D17"/>
    <w:rsid w:val="003245DA"/>
    <w:rsid w:val="00326C9C"/>
    <w:rsid w:val="00332165"/>
    <w:rsid w:val="00334F42"/>
    <w:rsid w:val="003434F1"/>
    <w:rsid w:val="00350335"/>
    <w:rsid w:val="003532FE"/>
    <w:rsid w:val="00357B96"/>
    <w:rsid w:val="00361603"/>
    <w:rsid w:val="00363F93"/>
    <w:rsid w:val="00364911"/>
    <w:rsid w:val="003666A8"/>
    <w:rsid w:val="00372735"/>
    <w:rsid w:val="00374943"/>
    <w:rsid w:val="00382AE9"/>
    <w:rsid w:val="00384441"/>
    <w:rsid w:val="00385E9C"/>
    <w:rsid w:val="0039724A"/>
    <w:rsid w:val="0039744A"/>
    <w:rsid w:val="003A02E7"/>
    <w:rsid w:val="003B24AA"/>
    <w:rsid w:val="003B2745"/>
    <w:rsid w:val="003B2A2A"/>
    <w:rsid w:val="003B4304"/>
    <w:rsid w:val="003B473B"/>
    <w:rsid w:val="003B77C8"/>
    <w:rsid w:val="003C5B24"/>
    <w:rsid w:val="003C6FBC"/>
    <w:rsid w:val="003D2CDE"/>
    <w:rsid w:val="003D3B8E"/>
    <w:rsid w:val="003E0869"/>
    <w:rsid w:val="003E0A9E"/>
    <w:rsid w:val="003E508F"/>
    <w:rsid w:val="003E64F6"/>
    <w:rsid w:val="003E7772"/>
    <w:rsid w:val="003F0BFC"/>
    <w:rsid w:val="003F4DBB"/>
    <w:rsid w:val="003F7FA9"/>
    <w:rsid w:val="00427928"/>
    <w:rsid w:val="0043044C"/>
    <w:rsid w:val="00430900"/>
    <w:rsid w:val="00430CC4"/>
    <w:rsid w:val="00432A7B"/>
    <w:rsid w:val="00444E89"/>
    <w:rsid w:val="00454397"/>
    <w:rsid w:val="00455926"/>
    <w:rsid w:val="0045692F"/>
    <w:rsid w:val="00457FCA"/>
    <w:rsid w:val="00461190"/>
    <w:rsid w:val="004655DB"/>
    <w:rsid w:val="00467328"/>
    <w:rsid w:val="00474116"/>
    <w:rsid w:val="00475572"/>
    <w:rsid w:val="0049100D"/>
    <w:rsid w:val="00491D48"/>
    <w:rsid w:val="004943F0"/>
    <w:rsid w:val="004B493F"/>
    <w:rsid w:val="004D5C91"/>
    <w:rsid w:val="004E0635"/>
    <w:rsid w:val="004E106C"/>
    <w:rsid w:val="004E1078"/>
    <w:rsid w:val="004E2714"/>
    <w:rsid w:val="004E4749"/>
    <w:rsid w:val="004E528F"/>
    <w:rsid w:val="004F4269"/>
    <w:rsid w:val="00507D72"/>
    <w:rsid w:val="00517F01"/>
    <w:rsid w:val="0052393B"/>
    <w:rsid w:val="00524D51"/>
    <w:rsid w:val="00524F8E"/>
    <w:rsid w:val="00534385"/>
    <w:rsid w:val="005469BA"/>
    <w:rsid w:val="0055175D"/>
    <w:rsid w:val="00552D1E"/>
    <w:rsid w:val="00553AC2"/>
    <w:rsid w:val="0056268A"/>
    <w:rsid w:val="00572E2B"/>
    <w:rsid w:val="005858C8"/>
    <w:rsid w:val="005865AC"/>
    <w:rsid w:val="005900CF"/>
    <w:rsid w:val="00594915"/>
    <w:rsid w:val="005A51D5"/>
    <w:rsid w:val="005B1297"/>
    <w:rsid w:val="005B54EF"/>
    <w:rsid w:val="005B7338"/>
    <w:rsid w:val="005B7D89"/>
    <w:rsid w:val="005C19EE"/>
    <w:rsid w:val="005C4979"/>
    <w:rsid w:val="005C67F0"/>
    <w:rsid w:val="005D4A68"/>
    <w:rsid w:val="005D5F92"/>
    <w:rsid w:val="005D722F"/>
    <w:rsid w:val="005E1F38"/>
    <w:rsid w:val="005E3C92"/>
    <w:rsid w:val="005E6520"/>
    <w:rsid w:val="005F0C51"/>
    <w:rsid w:val="005F3CCC"/>
    <w:rsid w:val="005F42FD"/>
    <w:rsid w:val="005F5AB4"/>
    <w:rsid w:val="005F7795"/>
    <w:rsid w:val="006008B1"/>
    <w:rsid w:val="006075D8"/>
    <w:rsid w:val="00610597"/>
    <w:rsid w:val="00612CC2"/>
    <w:rsid w:val="00614037"/>
    <w:rsid w:val="006141DB"/>
    <w:rsid w:val="00615FF5"/>
    <w:rsid w:val="00622B4A"/>
    <w:rsid w:val="006257C3"/>
    <w:rsid w:val="00632919"/>
    <w:rsid w:val="0064031C"/>
    <w:rsid w:val="006444F7"/>
    <w:rsid w:val="00654D8B"/>
    <w:rsid w:val="00654E4A"/>
    <w:rsid w:val="006561F2"/>
    <w:rsid w:val="0066221A"/>
    <w:rsid w:val="0066749F"/>
    <w:rsid w:val="006707B2"/>
    <w:rsid w:val="00671CA2"/>
    <w:rsid w:val="0068662A"/>
    <w:rsid w:val="006874D3"/>
    <w:rsid w:val="006924EE"/>
    <w:rsid w:val="0069623F"/>
    <w:rsid w:val="006A0BB0"/>
    <w:rsid w:val="006A1468"/>
    <w:rsid w:val="006B345B"/>
    <w:rsid w:val="006B584B"/>
    <w:rsid w:val="006C22FC"/>
    <w:rsid w:val="006C30A2"/>
    <w:rsid w:val="006C5259"/>
    <w:rsid w:val="006D0AD7"/>
    <w:rsid w:val="006D25C0"/>
    <w:rsid w:val="006D40E3"/>
    <w:rsid w:val="006D483F"/>
    <w:rsid w:val="006D5135"/>
    <w:rsid w:val="006D57F6"/>
    <w:rsid w:val="006D69D1"/>
    <w:rsid w:val="006E058E"/>
    <w:rsid w:val="006E24A3"/>
    <w:rsid w:val="006E7815"/>
    <w:rsid w:val="007024E6"/>
    <w:rsid w:val="00702CF7"/>
    <w:rsid w:val="007041E1"/>
    <w:rsid w:val="00706A7D"/>
    <w:rsid w:val="0071191E"/>
    <w:rsid w:val="007239DA"/>
    <w:rsid w:val="00727D68"/>
    <w:rsid w:val="0073502A"/>
    <w:rsid w:val="007350A8"/>
    <w:rsid w:val="007422F8"/>
    <w:rsid w:val="007448B7"/>
    <w:rsid w:val="0074597E"/>
    <w:rsid w:val="00761B01"/>
    <w:rsid w:val="00761CB9"/>
    <w:rsid w:val="00761E64"/>
    <w:rsid w:val="00765AE6"/>
    <w:rsid w:val="00766A5D"/>
    <w:rsid w:val="00767BAE"/>
    <w:rsid w:val="00770DD6"/>
    <w:rsid w:val="00773A5B"/>
    <w:rsid w:val="00782FCD"/>
    <w:rsid w:val="00785F0C"/>
    <w:rsid w:val="007935FA"/>
    <w:rsid w:val="00795F2D"/>
    <w:rsid w:val="007A7FEE"/>
    <w:rsid w:val="007B028E"/>
    <w:rsid w:val="007B063A"/>
    <w:rsid w:val="007B1E96"/>
    <w:rsid w:val="007C198B"/>
    <w:rsid w:val="007C74DA"/>
    <w:rsid w:val="007D1BD5"/>
    <w:rsid w:val="007E1D87"/>
    <w:rsid w:val="007E245F"/>
    <w:rsid w:val="007E3A4B"/>
    <w:rsid w:val="007E3DF0"/>
    <w:rsid w:val="007E5701"/>
    <w:rsid w:val="007F41DC"/>
    <w:rsid w:val="007F4440"/>
    <w:rsid w:val="00816655"/>
    <w:rsid w:val="00816B09"/>
    <w:rsid w:val="008239D6"/>
    <w:rsid w:val="0084303F"/>
    <w:rsid w:val="00845A04"/>
    <w:rsid w:val="00845F89"/>
    <w:rsid w:val="0085237B"/>
    <w:rsid w:val="00853A98"/>
    <w:rsid w:val="008709BF"/>
    <w:rsid w:val="008712D8"/>
    <w:rsid w:val="00873CEF"/>
    <w:rsid w:val="00873F61"/>
    <w:rsid w:val="00874009"/>
    <w:rsid w:val="00883810"/>
    <w:rsid w:val="008844C3"/>
    <w:rsid w:val="008877E5"/>
    <w:rsid w:val="00887BD6"/>
    <w:rsid w:val="00890DBF"/>
    <w:rsid w:val="0089189B"/>
    <w:rsid w:val="008A5076"/>
    <w:rsid w:val="008B1C6F"/>
    <w:rsid w:val="008B268D"/>
    <w:rsid w:val="008B5966"/>
    <w:rsid w:val="008B7624"/>
    <w:rsid w:val="008C1707"/>
    <w:rsid w:val="008C65FC"/>
    <w:rsid w:val="008D3210"/>
    <w:rsid w:val="008D41A7"/>
    <w:rsid w:val="008D5756"/>
    <w:rsid w:val="008D7512"/>
    <w:rsid w:val="008E3D1F"/>
    <w:rsid w:val="008F2D83"/>
    <w:rsid w:val="008F3226"/>
    <w:rsid w:val="008F783A"/>
    <w:rsid w:val="0090075C"/>
    <w:rsid w:val="00904317"/>
    <w:rsid w:val="00911381"/>
    <w:rsid w:val="009167BD"/>
    <w:rsid w:val="0092188D"/>
    <w:rsid w:val="0092590A"/>
    <w:rsid w:val="00925DA0"/>
    <w:rsid w:val="00930E0E"/>
    <w:rsid w:val="00930F20"/>
    <w:rsid w:val="009357E8"/>
    <w:rsid w:val="00954CB9"/>
    <w:rsid w:val="00963D56"/>
    <w:rsid w:val="00967D7F"/>
    <w:rsid w:val="009711D2"/>
    <w:rsid w:val="0097262E"/>
    <w:rsid w:val="0097756C"/>
    <w:rsid w:val="00982290"/>
    <w:rsid w:val="0098388D"/>
    <w:rsid w:val="009A2939"/>
    <w:rsid w:val="009A36A5"/>
    <w:rsid w:val="009A74A4"/>
    <w:rsid w:val="009A798D"/>
    <w:rsid w:val="009B13D5"/>
    <w:rsid w:val="009B149E"/>
    <w:rsid w:val="009B50EF"/>
    <w:rsid w:val="009B5474"/>
    <w:rsid w:val="009C147B"/>
    <w:rsid w:val="009C6F0B"/>
    <w:rsid w:val="009D468E"/>
    <w:rsid w:val="009D655E"/>
    <w:rsid w:val="009E2CC5"/>
    <w:rsid w:val="009F10B5"/>
    <w:rsid w:val="009F200E"/>
    <w:rsid w:val="009F2872"/>
    <w:rsid w:val="009F3C8E"/>
    <w:rsid w:val="00A0397F"/>
    <w:rsid w:val="00A05B71"/>
    <w:rsid w:val="00A11E4A"/>
    <w:rsid w:val="00A236C7"/>
    <w:rsid w:val="00A24948"/>
    <w:rsid w:val="00A30875"/>
    <w:rsid w:val="00A34138"/>
    <w:rsid w:val="00A367BB"/>
    <w:rsid w:val="00A42F47"/>
    <w:rsid w:val="00A462A2"/>
    <w:rsid w:val="00A46E03"/>
    <w:rsid w:val="00A51EEA"/>
    <w:rsid w:val="00A52F42"/>
    <w:rsid w:val="00A543FF"/>
    <w:rsid w:val="00A61D13"/>
    <w:rsid w:val="00A653DD"/>
    <w:rsid w:val="00A7035E"/>
    <w:rsid w:val="00A7205A"/>
    <w:rsid w:val="00A7623D"/>
    <w:rsid w:val="00A83119"/>
    <w:rsid w:val="00A83FE7"/>
    <w:rsid w:val="00A845DC"/>
    <w:rsid w:val="00A84751"/>
    <w:rsid w:val="00A86228"/>
    <w:rsid w:val="00A938D2"/>
    <w:rsid w:val="00A93D6E"/>
    <w:rsid w:val="00A977C3"/>
    <w:rsid w:val="00AA36F9"/>
    <w:rsid w:val="00AA4621"/>
    <w:rsid w:val="00AB2CA2"/>
    <w:rsid w:val="00AB4EC4"/>
    <w:rsid w:val="00AB6879"/>
    <w:rsid w:val="00AB7F6D"/>
    <w:rsid w:val="00AC1743"/>
    <w:rsid w:val="00AC7708"/>
    <w:rsid w:val="00AC7E9A"/>
    <w:rsid w:val="00AD0A2A"/>
    <w:rsid w:val="00AD1788"/>
    <w:rsid w:val="00AD4461"/>
    <w:rsid w:val="00AE6590"/>
    <w:rsid w:val="00AE767A"/>
    <w:rsid w:val="00AE7F49"/>
    <w:rsid w:val="00AF0691"/>
    <w:rsid w:val="00AF3138"/>
    <w:rsid w:val="00AF3FF5"/>
    <w:rsid w:val="00AF572B"/>
    <w:rsid w:val="00AF67CF"/>
    <w:rsid w:val="00B002BB"/>
    <w:rsid w:val="00B262FF"/>
    <w:rsid w:val="00B30EA7"/>
    <w:rsid w:val="00B31BAA"/>
    <w:rsid w:val="00B344FC"/>
    <w:rsid w:val="00B3683A"/>
    <w:rsid w:val="00B37B2D"/>
    <w:rsid w:val="00B4048D"/>
    <w:rsid w:val="00B41016"/>
    <w:rsid w:val="00B47B6B"/>
    <w:rsid w:val="00B511A9"/>
    <w:rsid w:val="00B54B1B"/>
    <w:rsid w:val="00B65BE4"/>
    <w:rsid w:val="00B6697E"/>
    <w:rsid w:val="00B75457"/>
    <w:rsid w:val="00B7657D"/>
    <w:rsid w:val="00B9139F"/>
    <w:rsid w:val="00BA20E2"/>
    <w:rsid w:val="00BA2AD5"/>
    <w:rsid w:val="00BA3F9C"/>
    <w:rsid w:val="00BA50D5"/>
    <w:rsid w:val="00BA6577"/>
    <w:rsid w:val="00BB2438"/>
    <w:rsid w:val="00BB2470"/>
    <w:rsid w:val="00BB509A"/>
    <w:rsid w:val="00BB7B6F"/>
    <w:rsid w:val="00BC02C7"/>
    <w:rsid w:val="00BC4632"/>
    <w:rsid w:val="00BC55FF"/>
    <w:rsid w:val="00BE1458"/>
    <w:rsid w:val="00BE33C8"/>
    <w:rsid w:val="00BE3E7C"/>
    <w:rsid w:val="00BF5807"/>
    <w:rsid w:val="00BF5E71"/>
    <w:rsid w:val="00C01678"/>
    <w:rsid w:val="00C17EFD"/>
    <w:rsid w:val="00C23340"/>
    <w:rsid w:val="00C34A02"/>
    <w:rsid w:val="00C428B7"/>
    <w:rsid w:val="00C4395E"/>
    <w:rsid w:val="00C46F8F"/>
    <w:rsid w:val="00C502B0"/>
    <w:rsid w:val="00C54664"/>
    <w:rsid w:val="00C572EB"/>
    <w:rsid w:val="00C5766C"/>
    <w:rsid w:val="00C70F45"/>
    <w:rsid w:val="00C71987"/>
    <w:rsid w:val="00C73F43"/>
    <w:rsid w:val="00C776BD"/>
    <w:rsid w:val="00C80622"/>
    <w:rsid w:val="00C80C2A"/>
    <w:rsid w:val="00C8157B"/>
    <w:rsid w:val="00C820DA"/>
    <w:rsid w:val="00C8535A"/>
    <w:rsid w:val="00C857FC"/>
    <w:rsid w:val="00C8679F"/>
    <w:rsid w:val="00C92821"/>
    <w:rsid w:val="00CA1A26"/>
    <w:rsid w:val="00CA4715"/>
    <w:rsid w:val="00CB0A7E"/>
    <w:rsid w:val="00CB233B"/>
    <w:rsid w:val="00CB4809"/>
    <w:rsid w:val="00CB495B"/>
    <w:rsid w:val="00CC3386"/>
    <w:rsid w:val="00CD2B0D"/>
    <w:rsid w:val="00CD42C0"/>
    <w:rsid w:val="00CE6DBC"/>
    <w:rsid w:val="00CE71FB"/>
    <w:rsid w:val="00CE77AD"/>
    <w:rsid w:val="00CE7D1E"/>
    <w:rsid w:val="00D045EC"/>
    <w:rsid w:val="00D17348"/>
    <w:rsid w:val="00D204F2"/>
    <w:rsid w:val="00D23F04"/>
    <w:rsid w:val="00D24437"/>
    <w:rsid w:val="00D3682C"/>
    <w:rsid w:val="00D46433"/>
    <w:rsid w:val="00D57812"/>
    <w:rsid w:val="00D60BBA"/>
    <w:rsid w:val="00D618D5"/>
    <w:rsid w:val="00D62788"/>
    <w:rsid w:val="00D64822"/>
    <w:rsid w:val="00D6484E"/>
    <w:rsid w:val="00D66AB8"/>
    <w:rsid w:val="00D66D43"/>
    <w:rsid w:val="00D71692"/>
    <w:rsid w:val="00D74BCE"/>
    <w:rsid w:val="00D77BD3"/>
    <w:rsid w:val="00D80E5B"/>
    <w:rsid w:val="00D840C6"/>
    <w:rsid w:val="00D84383"/>
    <w:rsid w:val="00D92478"/>
    <w:rsid w:val="00D937B8"/>
    <w:rsid w:val="00D96BFB"/>
    <w:rsid w:val="00D9717B"/>
    <w:rsid w:val="00D97303"/>
    <w:rsid w:val="00DA210C"/>
    <w:rsid w:val="00DA2ED0"/>
    <w:rsid w:val="00DA6555"/>
    <w:rsid w:val="00DB774C"/>
    <w:rsid w:val="00DC0502"/>
    <w:rsid w:val="00DC05B3"/>
    <w:rsid w:val="00DC19CB"/>
    <w:rsid w:val="00DC434F"/>
    <w:rsid w:val="00DC74E7"/>
    <w:rsid w:val="00DD0C55"/>
    <w:rsid w:val="00DD2EFA"/>
    <w:rsid w:val="00DD4EF1"/>
    <w:rsid w:val="00DF059B"/>
    <w:rsid w:val="00DF4857"/>
    <w:rsid w:val="00E0079A"/>
    <w:rsid w:val="00E040AF"/>
    <w:rsid w:val="00E04ACD"/>
    <w:rsid w:val="00E05F64"/>
    <w:rsid w:val="00E13150"/>
    <w:rsid w:val="00E308D0"/>
    <w:rsid w:val="00E31648"/>
    <w:rsid w:val="00E32BEE"/>
    <w:rsid w:val="00E36030"/>
    <w:rsid w:val="00E3730C"/>
    <w:rsid w:val="00E40F22"/>
    <w:rsid w:val="00E42397"/>
    <w:rsid w:val="00E453A6"/>
    <w:rsid w:val="00E52063"/>
    <w:rsid w:val="00E607A7"/>
    <w:rsid w:val="00E62286"/>
    <w:rsid w:val="00E64549"/>
    <w:rsid w:val="00E7251F"/>
    <w:rsid w:val="00E732A3"/>
    <w:rsid w:val="00E83DD0"/>
    <w:rsid w:val="00E907F7"/>
    <w:rsid w:val="00E917A4"/>
    <w:rsid w:val="00E92762"/>
    <w:rsid w:val="00E95A84"/>
    <w:rsid w:val="00E970B4"/>
    <w:rsid w:val="00EA0CDC"/>
    <w:rsid w:val="00EA2C9B"/>
    <w:rsid w:val="00EA34B2"/>
    <w:rsid w:val="00EA7031"/>
    <w:rsid w:val="00EB012A"/>
    <w:rsid w:val="00EB52C6"/>
    <w:rsid w:val="00EC0AC6"/>
    <w:rsid w:val="00EC0E69"/>
    <w:rsid w:val="00EC75B4"/>
    <w:rsid w:val="00ED02EE"/>
    <w:rsid w:val="00EE50FA"/>
    <w:rsid w:val="00EE542C"/>
    <w:rsid w:val="00EE5848"/>
    <w:rsid w:val="00EE6149"/>
    <w:rsid w:val="00EE6216"/>
    <w:rsid w:val="00EF0CE9"/>
    <w:rsid w:val="00EF0DA9"/>
    <w:rsid w:val="00EF1BD4"/>
    <w:rsid w:val="00EF45DF"/>
    <w:rsid w:val="00EF615E"/>
    <w:rsid w:val="00F01749"/>
    <w:rsid w:val="00F03F94"/>
    <w:rsid w:val="00F0604D"/>
    <w:rsid w:val="00F1171C"/>
    <w:rsid w:val="00F1488D"/>
    <w:rsid w:val="00F14EC8"/>
    <w:rsid w:val="00F22FE8"/>
    <w:rsid w:val="00F32EB3"/>
    <w:rsid w:val="00F34236"/>
    <w:rsid w:val="00F37FF3"/>
    <w:rsid w:val="00F41B26"/>
    <w:rsid w:val="00F55BDA"/>
    <w:rsid w:val="00F65E1F"/>
    <w:rsid w:val="00F70406"/>
    <w:rsid w:val="00F8062B"/>
    <w:rsid w:val="00F80FB0"/>
    <w:rsid w:val="00F81586"/>
    <w:rsid w:val="00F87D4A"/>
    <w:rsid w:val="00F919C1"/>
    <w:rsid w:val="00F94ABD"/>
    <w:rsid w:val="00F95B23"/>
    <w:rsid w:val="00FB2348"/>
    <w:rsid w:val="00FB2B42"/>
    <w:rsid w:val="00FB3240"/>
    <w:rsid w:val="00FC36F7"/>
    <w:rsid w:val="00FC4567"/>
    <w:rsid w:val="00FD6DAA"/>
    <w:rsid w:val="00FE12AE"/>
    <w:rsid w:val="00FE376F"/>
    <w:rsid w:val="012375FA"/>
    <w:rsid w:val="012617C3"/>
    <w:rsid w:val="013810AF"/>
    <w:rsid w:val="01546A41"/>
    <w:rsid w:val="016320EC"/>
    <w:rsid w:val="016C07AD"/>
    <w:rsid w:val="01784504"/>
    <w:rsid w:val="017B4E8F"/>
    <w:rsid w:val="017E6F26"/>
    <w:rsid w:val="01A3073B"/>
    <w:rsid w:val="01AA4EAC"/>
    <w:rsid w:val="023F4984"/>
    <w:rsid w:val="02551B85"/>
    <w:rsid w:val="02564B51"/>
    <w:rsid w:val="026D185A"/>
    <w:rsid w:val="0270382A"/>
    <w:rsid w:val="027475EC"/>
    <w:rsid w:val="02753E85"/>
    <w:rsid w:val="0286368E"/>
    <w:rsid w:val="02922A4D"/>
    <w:rsid w:val="02DD029C"/>
    <w:rsid w:val="02E81030"/>
    <w:rsid w:val="030727B5"/>
    <w:rsid w:val="030B3033"/>
    <w:rsid w:val="031306A7"/>
    <w:rsid w:val="0315214D"/>
    <w:rsid w:val="031F3302"/>
    <w:rsid w:val="032E3D8C"/>
    <w:rsid w:val="033E696D"/>
    <w:rsid w:val="033F485F"/>
    <w:rsid w:val="034D4E02"/>
    <w:rsid w:val="03506B28"/>
    <w:rsid w:val="03547F3F"/>
    <w:rsid w:val="0360322E"/>
    <w:rsid w:val="03662882"/>
    <w:rsid w:val="036839EA"/>
    <w:rsid w:val="036F14BD"/>
    <w:rsid w:val="037C1244"/>
    <w:rsid w:val="037C1B4A"/>
    <w:rsid w:val="03822CFE"/>
    <w:rsid w:val="03855C7E"/>
    <w:rsid w:val="039463D3"/>
    <w:rsid w:val="03B54542"/>
    <w:rsid w:val="03B7035E"/>
    <w:rsid w:val="03CA7E0E"/>
    <w:rsid w:val="03E94F8E"/>
    <w:rsid w:val="03EC7108"/>
    <w:rsid w:val="03F64D56"/>
    <w:rsid w:val="04060F42"/>
    <w:rsid w:val="0431202E"/>
    <w:rsid w:val="04640655"/>
    <w:rsid w:val="0471592F"/>
    <w:rsid w:val="04745EB1"/>
    <w:rsid w:val="047563BF"/>
    <w:rsid w:val="04760943"/>
    <w:rsid w:val="048115F1"/>
    <w:rsid w:val="04A94967"/>
    <w:rsid w:val="04A951C5"/>
    <w:rsid w:val="04C95EF8"/>
    <w:rsid w:val="04CD1713"/>
    <w:rsid w:val="04D26C19"/>
    <w:rsid w:val="05111DAD"/>
    <w:rsid w:val="052D0A47"/>
    <w:rsid w:val="052E64EB"/>
    <w:rsid w:val="055B4494"/>
    <w:rsid w:val="058352A9"/>
    <w:rsid w:val="05881E3A"/>
    <w:rsid w:val="05A53AC5"/>
    <w:rsid w:val="05B13057"/>
    <w:rsid w:val="05B42801"/>
    <w:rsid w:val="05B946DB"/>
    <w:rsid w:val="05E05ABA"/>
    <w:rsid w:val="05E50295"/>
    <w:rsid w:val="05F55289"/>
    <w:rsid w:val="0603061C"/>
    <w:rsid w:val="061013A2"/>
    <w:rsid w:val="06175254"/>
    <w:rsid w:val="06355343"/>
    <w:rsid w:val="064504DC"/>
    <w:rsid w:val="065344DE"/>
    <w:rsid w:val="065703B9"/>
    <w:rsid w:val="066962D7"/>
    <w:rsid w:val="06813F88"/>
    <w:rsid w:val="06B45389"/>
    <w:rsid w:val="06B83EA4"/>
    <w:rsid w:val="06BA7F39"/>
    <w:rsid w:val="06CE258E"/>
    <w:rsid w:val="06D70E11"/>
    <w:rsid w:val="06E67D12"/>
    <w:rsid w:val="07026731"/>
    <w:rsid w:val="07100621"/>
    <w:rsid w:val="072D7C3C"/>
    <w:rsid w:val="073312BA"/>
    <w:rsid w:val="07520C39"/>
    <w:rsid w:val="075A7AEE"/>
    <w:rsid w:val="07A1571D"/>
    <w:rsid w:val="07DE5732"/>
    <w:rsid w:val="07E001E3"/>
    <w:rsid w:val="08337756"/>
    <w:rsid w:val="085B58CB"/>
    <w:rsid w:val="0865578D"/>
    <w:rsid w:val="0886622F"/>
    <w:rsid w:val="08BD676D"/>
    <w:rsid w:val="08CA4C07"/>
    <w:rsid w:val="09093579"/>
    <w:rsid w:val="09207704"/>
    <w:rsid w:val="09464F61"/>
    <w:rsid w:val="094729BD"/>
    <w:rsid w:val="095264E5"/>
    <w:rsid w:val="09670057"/>
    <w:rsid w:val="0972399A"/>
    <w:rsid w:val="09C676BC"/>
    <w:rsid w:val="09E82B0F"/>
    <w:rsid w:val="09EA33AB"/>
    <w:rsid w:val="09EA39F6"/>
    <w:rsid w:val="0A12656B"/>
    <w:rsid w:val="0A1F0DB5"/>
    <w:rsid w:val="0A2001BE"/>
    <w:rsid w:val="0A2C5771"/>
    <w:rsid w:val="0A3A3B56"/>
    <w:rsid w:val="0A6F38B0"/>
    <w:rsid w:val="0A897568"/>
    <w:rsid w:val="0AA3355A"/>
    <w:rsid w:val="0AC01B2F"/>
    <w:rsid w:val="0AC91212"/>
    <w:rsid w:val="0AEC4F01"/>
    <w:rsid w:val="0B22064F"/>
    <w:rsid w:val="0B220922"/>
    <w:rsid w:val="0B447B21"/>
    <w:rsid w:val="0B45008E"/>
    <w:rsid w:val="0B495EAF"/>
    <w:rsid w:val="0B8213C1"/>
    <w:rsid w:val="0B8E5735"/>
    <w:rsid w:val="0BA46261"/>
    <w:rsid w:val="0BDF05C2"/>
    <w:rsid w:val="0BE333E9"/>
    <w:rsid w:val="0BF277E3"/>
    <w:rsid w:val="0BF91683"/>
    <w:rsid w:val="0C215260"/>
    <w:rsid w:val="0C290057"/>
    <w:rsid w:val="0C4A697C"/>
    <w:rsid w:val="0CB65D04"/>
    <w:rsid w:val="0CC7352F"/>
    <w:rsid w:val="0CD10852"/>
    <w:rsid w:val="0CDD4579"/>
    <w:rsid w:val="0CEA0261"/>
    <w:rsid w:val="0D1C7D1F"/>
    <w:rsid w:val="0D3C38BF"/>
    <w:rsid w:val="0D676AC1"/>
    <w:rsid w:val="0D810CB5"/>
    <w:rsid w:val="0DC33118"/>
    <w:rsid w:val="0DC5015A"/>
    <w:rsid w:val="0DCE08EE"/>
    <w:rsid w:val="0DCE6B40"/>
    <w:rsid w:val="0DF843DB"/>
    <w:rsid w:val="0E06678C"/>
    <w:rsid w:val="0E1516DC"/>
    <w:rsid w:val="0E285928"/>
    <w:rsid w:val="0E2C2B37"/>
    <w:rsid w:val="0E3422FD"/>
    <w:rsid w:val="0E3E1638"/>
    <w:rsid w:val="0E802453"/>
    <w:rsid w:val="0E8419DF"/>
    <w:rsid w:val="0E8536A2"/>
    <w:rsid w:val="0E8B4A92"/>
    <w:rsid w:val="0E8D1CD1"/>
    <w:rsid w:val="0E8D69FB"/>
    <w:rsid w:val="0EA039FB"/>
    <w:rsid w:val="0EA87391"/>
    <w:rsid w:val="0EA93835"/>
    <w:rsid w:val="0EB61AAE"/>
    <w:rsid w:val="0EBB474D"/>
    <w:rsid w:val="0EC3241C"/>
    <w:rsid w:val="0EC341CA"/>
    <w:rsid w:val="0EDA7072"/>
    <w:rsid w:val="0EE16D35"/>
    <w:rsid w:val="0EF54B6B"/>
    <w:rsid w:val="0EF54D21"/>
    <w:rsid w:val="0F16079E"/>
    <w:rsid w:val="0F3D5D2B"/>
    <w:rsid w:val="0F725DC4"/>
    <w:rsid w:val="0F7335C5"/>
    <w:rsid w:val="0F7A6F7F"/>
    <w:rsid w:val="0F810A2B"/>
    <w:rsid w:val="0F900551"/>
    <w:rsid w:val="0F937B15"/>
    <w:rsid w:val="0FA649E0"/>
    <w:rsid w:val="0FA9329A"/>
    <w:rsid w:val="0FAB7138"/>
    <w:rsid w:val="0FB35296"/>
    <w:rsid w:val="0FBF2FB7"/>
    <w:rsid w:val="0FD03282"/>
    <w:rsid w:val="0FDB3CB0"/>
    <w:rsid w:val="0FDC19E8"/>
    <w:rsid w:val="0FFC7697"/>
    <w:rsid w:val="0FFF1232"/>
    <w:rsid w:val="102E580A"/>
    <w:rsid w:val="10643CCA"/>
    <w:rsid w:val="106A6FF4"/>
    <w:rsid w:val="106D6219"/>
    <w:rsid w:val="10BB7585"/>
    <w:rsid w:val="10C53AD6"/>
    <w:rsid w:val="10CC55B8"/>
    <w:rsid w:val="10D60B3D"/>
    <w:rsid w:val="10DC4F31"/>
    <w:rsid w:val="10E548CC"/>
    <w:rsid w:val="10EF574B"/>
    <w:rsid w:val="10F62523"/>
    <w:rsid w:val="110E3E23"/>
    <w:rsid w:val="113644D2"/>
    <w:rsid w:val="113D2012"/>
    <w:rsid w:val="115A1A13"/>
    <w:rsid w:val="115A7460"/>
    <w:rsid w:val="116F12D7"/>
    <w:rsid w:val="117B5624"/>
    <w:rsid w:val="117C6387"/>
    <w:rsid w:val="117D33E9"/>
    <w:rsid w:val="119971CD"/>
    <w:rsid w:val="11AE4CBE"/>
    <w:rsid w:val="11B57B67"/>
    <w:rsid w:val="11F56D91"/>
    <w:rsid w:val="123F1DBA"/>
    <w:rsid w:val="125D0492"/>
    <w:rsid w:val="126D1954"/>
    <w:rsid w:val="12816876"/>
    <w:rsid w:val="12C375EF"/>
    <w:rsid w:val="12C37CA8"/>
    <w:rsid w:val="12C94975"/>
    <w:rsid w:val="12CA561E"/>
    <w:rsid w:val="12D124A1"/>
    <w:rsid w:val="12EC6EE1"/>
    <w:rsid w:val="12F31522"/>
    <w:rsid w:val="12F61623"/>
    <w:rsid w:val="130A362E"/>
    <w:rsid w:val="130E4C12"/>
    <w:rsid w:val="13233EED"/>
    <w:rsid w:val="13407773"/>
    <w:rsid w:val="13441D7E"/>
    <w:rsid w:val="134D74D4"/>
    <w:rsid w:val="13542DF8"/>
    <w:rsid w:val="1376180B"/>
    <w:rsid w:val="137B0804"/>
    <w:rsid w:val="139D2D1B"/>
    <w:rsid w:val="13A201F4"/>
    <w:rsid w:val="13CA1BEF"/>
    <w:rsid w:val="13CB7DA9"/>
    <w:rsid w:val="13ED1BA2"/>
    <w:rsid w:val="140D6FAA"/>
    <w:rsid w:val="141F0095"/>
    <w:rsid w:val="141F00F5"/>
    <w:rsid w:val="14213E6D"/>
    <w:rsid w:val="143E2110"/>
    <w:rsid w:val="14416EB1"/>
    <w:rsid w:val="145A23BC"/>
    <w:rsid w:val="14693DEC"/>
    <w:rsid w:val="147E0B09"/>
    <w:rsid w:val="148113AA"/>
    <w:rsid w:val="14897E4C"/>
    <w:rsid w:val="14956609"/>
    <w:rsid w:val="149A3343"/>
    <w:rsid w:val="14AA7F19"/>
    <w:rsid w:val="14B52807"/>
    <w:rsid w:val="14C01F6E"/>
    <w:rsid w:val="14D902A4"/>
    <w:rsid w:val="14DE3DD7"/>
    <w:rsid w:val="15253679"/>
    <w:rsid w:val="1541573B"/>
    <w:rsid w:val="1553598C"/>
    <w:rsid w:val="15595889"/>
    <w:rsid w:val="15747FCD"/>
    <w:rsid w:val="159A1CC4"/>
    <w:rsid w:val="15A66514"/>
    <w:rsid w:val="15B351E1"/>
    <w:rsid w:val="15C03212"/>
    <w:rsid w:val="15CB6525"/>
    <w:rsid w:val="15EA64E1"/>
    <w:rsid w:val="160B0931"/>
    <w:rsid w:val="16341C65"/>
    <w:rsid w:val="1638724C"/>
    <w:rsid w:val="16390B2A"/>
    <w:rsid w:val="163D20FF"/>
    <w:rsid w:val="16492D73"/>
    <w:rsid w:val="16612C47"/>
    <w:rsid w:val="166242C9"/>
    <w:rsid w:val="16670DD7"/>
    <w:rsid w:val="166D15EC"/>
    <w:rsid w:val="166D65D9"/>
    <w:rsid w:val="16846935"/>
    <w:rsid w:val="16AA6A67"/>
    <w:rsid w:val="16D1671C"/>
    <w:rsid w:val="16DC3460"/>
    <w:rsid w:val="16EC3A09"/>
    <w:rsid w:val="16F37B9A"/>
    <w:rsid w:val="170D6313"/>
    <w:rsid w:val="170F76ED"/>
    <w:rsid w:val="171E4694"/>
    <w:rsid w:val="172C7339"/>
    <w:rsid w:val="1744335B"/>
    <w:rsid w:val="17492104"/>
    <w:rsid w:val="17802201"/>
    <w:rsid w:val="178502B5"/>
    <w:rsid w:val="178937FF"/>
    <w:rsid w:val="17A07677"/>
    <w:rsid w:val="17B0170E"/>
    <w:rsid w:val="17CC6FD9"/>
    <w:rsid w:val="17E3111F"/>
    <w:rsid w:val="180C6BE2"/>
    <w:rsid w:val="182D40BB"/>
    <w:rsid w:val="183879D7"/>
    <w:rsid w:val="183B2A6B"/>
    <w:rsid w:val="185F4F64"/>
    <w:rsid w:val="18633981"/>
    <w:rsid w:val="187E44D2"/>
    <w:rsid w:val="18972950"/>
    <w:rsid w:val="1899430D"/>
    <w:rsid w:val="18D53478"/>
    <w:rsid w:val="18DB509A"/>
    <w:rsid w:val="18E53E06"/>
    <w:rsid w:val="18E722AD"/>
    <w:rsid w:val="18F331DF"/>
    <w:rsid w:val="18F549A8"/>
    <w:rsid w:val="19045B0B"/>
    <w:rsid w:val="191B532F"/>
    <w:rsid w:val="192B2350"/>
    <w:rsid w:val="193957B5"/>
    <w:rsid w:val="194D230F"/>
    <w:rsid w:val="195C449A"/>
    <w:rsid w:val="19645B6B"/>
    <w:rsid w:val="19AF1F1B"/>
    <w:rsid w:val="19B250B4"/>
    <w:rsid w:val="19E33D6F"/>
    <w:rsid w:val="1A0A7151"/>
    <w:rsid w:val="1A197394"/>
    <w:rsid w:val="1A2521DD"/>
    <w:rsid w:val="1A292FD3"/>
    <w:rsid w:val="1A330456"/>
    <w:rsid w:val="1A425633"/>
    <w:rsid w:val="1A4A57A0"/>
    <w:rsid w:val="1A6F204B"/>
    <w:rsid w:val="1A6F7C3E"/>
    <w:rsid w:val="1A7A42D7"/>
    <w:rsid w:val="1A7E1388"/>
    <w:rsid w:val="1A8444B2"/>
    <w:rsid w:val="1A853D75"/>
    <w:rsid w:val="1AA9696A"/>
    <w:rsid w:val="1ABB61FB"/>
    <w:rsid w:val="1AE600F4"/>
    <w:rsid w:val="1AEF6C50"/>
    <w:rsid w:val="1AFD2812"/>
    <w:rsid w:val="1B1F13D0"/>
    <w:rsid w:val="1B4D72F6"/>
    <w:rsid w:val="1B55264E"/>
    <w:rsid w:val="1B8173C3"/>
    <w:rsid w:val="1B9B6A0B"/>
    <w:rsid w:val="1BA535D6"/>
    <w:rsid w:val="1BAA4748"/>
    <w:rsid w:val="1BB45658"/>
    <w:rsid w:val="1BB630ED"/>
    <w:rsid w:val="1BC1042C"/>
    <w:rsid w:val="1BD94E2F"/>
    <w:rsid w:val="1BEF4851"/>
    <w:rsid w:val="1C507C76"/>
    <w:rsid w:val="1C512E16"/>
    <w:rsid w:val="1C884DD7"/>
    <w:rsid w:val="1C8C02F2"/>
    <w:rsid w:val="1C8E7BC6"/>
    <w:rsid w:val="1CB735C0"/>
    <w:rsid w:val="1CC574E2"/>
    <w:rsid w:val="1CCC20E5"/>
    <w:rsid w:val="1CDD1006"/>
    <w:rsid w:val="1CEF4EA0"/>
    <w:rsid w:val="1D0910E5"/>
    <w:rsid w:val="1D117B98"/>
    <w:rsid w:val="1D1502E7"/>
    <w:rsid w:val="1D156539"/>
    <w:rsid w:val="1D202768"/>
    <w:rsid w:val="1D271DC8"/>
    <w:rsid w:val="1D273130"/>
    <w:rsid w:val="1D301902"/>
    <w:rsid w:val="1D3A21FB"/>
    <w:rsid w:val="1D3C1D18"/>
    <w:rsid w:val="1D465F18"/>
    <w:rsid w:val="1D691539"/>
    <w:rsid w:val="1D8E363E"/>
    <w:rsid w:val="1D9C4C7C"/>
    <w:rsid w:val="1DA03EEE"/>
    <w:rsid w:val="1DA30EAE"/>
    <w:rsid w:val="1DAA0909"/>
    <w:rsid w:val="1DC64DF4"/>
    <w:rsid w:val="1DFB4A39"/>
    <w:rsid w:val="1E05035C"/>
    <w:rsid w:val="1E2243A0"/>
    <w:rsid w:val="1E2E1F24"/>
    <w:rsid w:val="1E36109D"/>
    <w:rsid w:val="1E4C7CB2"/>
    <w:rsid w:val="1E7772A0"/>
    <w:rsid w:val="1E7E1164"/>
    <w:rsid w:val="1E8E65A3"/>
    <w:rsid w:val="1EA45806"/>
    <w:rsid w:val="1ECB20C9"/>
    <w:rsid w:val="1ECE462E"/>
    <w:rsid w:val="1EDD6BE3"/>
    <w:rsid w:val="1EF02DBA"/>
    <w:rsid w:val="1F0B4912"/>
    <w:rsid w:val="1F1D22DF"/>
    <w:rsid w:val="1F316F2E"/>
    <w:rsid w:val="1F481CE3"/>
    <w:rsid w:val="1F4849A4"/>
    <w:rsid w:val="1F4E2C02"/>
    <w:rsid w:val="1F603ED3"/>
    <w:rsid w:val="1F95570F"/>
    <w:rsid w:val="1FA37E2C"/>
    <w:rsid w:val="1FAB4F33"/>
    <w:rsid w:val="1FB30D56"/>
    <w:rsid w:val="1FBB6672"/>
    <w:rsid w:val="1FE3088A"/>
    <w:rsid w:val="1FE30F60"/>
    <w:rsid w:val="1FEA0742"/>
    <w:rsid w:val="1FF57AD7"/>
    <w:rsid w:val="1FFD5EBF"/>
    <w:rsid w:val="20044690"/>
    <w:rsid w:val="2007660D"/>
    <w:rsid w:val="200C59D1"/>
    <w:rsid w:val="200F7CB6"/>
    <w:rsid w:val="20112FE8"/>
    <w:rsid w:val="204431AA"/>
    <w:rsid w:val="20607C32"/>
    <w:rsid w:val="206F5549"/>
    <w:rsid w:val="208732AA"/>
    <w:rsid w:val="20932183"/>
    <w:rsid w:val="20AF647A"/>
    <w:rsid w:val="20D34C97"/>
    <w:rsid w:val="20F35916"/>
    <w:rsid w:val="20F55112"/>
    <w:rsid w:val="20F871F2"/>
    <w:rsid w:val="21011147"/>
    <w:rsid w:val="210A7A37"/>
    <w:rsid w:val="21224D81"/>
    <w:rsid w:val="213114BA"/>
    <w:rsid w:val="213A36FB"/>
    <w:rsid w:val="21461012"/>
    <w:rsid w:val="214935DA"/>
    <w:rsid w:val="21510D91"/>
    <w:rsid w:val="215E2BCE"/>
    <w:rsid w:val="21744E01"/>
    <w:rsid w:val="21835AB5"/>
    <w:rsid w:val="21852C8B"/>
    <w:rsid w:val="2190131F"/>
    <w:rsid w:val="21BA3F9F"/>
    <w:rsid w:val="21CF215F"/>
    <w:rsid w:val="21DB48C2"/>
    <w:rsid w:val="21EE48C0"/>
    <w:rsid w:val="21F20BF7"/>
    <w:rsid w:val="22034BB2"/>
    <w:rsid w:val="22094789"/>
    <w:rsid w:val="221A3D42"/>
    <w:rsid w:val="221E2873"/>
    <w:rsid w:val="2229591A"/>
    <w:rsid w:val="2238786B"/>
    <w:rsid w:val="225673D8"/>
    <w:rsid w:val="226A4C31"/>
    <w:rsid w:val="228925DB"/>
    <w:rsid w:val="229B4DEB"/>
    <w:rsid w:val="229E2B2D"/>
    <w:rsid w:val="22A44E77"/>
    <w:rsid w:val="22D87DED"/>
    <w:rsid w:val="22E25109"/>
    <w:rsid w:val="231777D5"/>
    <w:rsid w:val="234D171A"/>
    <w:rsid w:val="23611AE3"/>
    <w:rsid w:val="236614AF"/>
    <w:rsid w:val="2369313B"/>
    <w:rsid w:val="236B2721"/>
    <w:rsid w:val="23730FC9"/>
    <w:rsid w:val="23966F9F"/>
    <w:rsid w:val="239911F4"/>
    <w:rsid w:val="23AA344D"/>
    <w:rsid w:val="23BB652D"/>
    <w:rsid w:val="23C60266"/>
    <w:rsid w:val="23D94F43"/>
    <w:rsid w:val="23F61D2C"/>
    <w:rsid w:val="23F873F7"/>
    <w:rsid w:val="24327310"/>
    <w:rsid w:val="243B47C7"/>
    <w:rsid w:val="246B4C91"/>
    <w:rsid w:val="24727DCD"/>
    <w:rsid w:val="24765B0F"/>
    <w:rsid w:val="24855D52"/>
    <w:rsid w:val="248A3369"/>
    <w:rsid w:val="249113C9"/>
    <w:rsid w:val="24AC1531"/>
    <w:rsid w:val="24DE5462"/>
    <w:rsid w:val="24E26528"/>
    <w:rsid w:val="24ED6CA2"/>
    <w:rsid w:val="24F44C86"/>
    <w:rsid w:val="251A293E"/>
    <w:rsid w:val="251F40F9"/>
    <w:rsid w:val="253B4663"/>
    <w:rsid w:val="255106D6"/>
    <w:rsid w:val="256533FF"/>
    <w:rsid w:val="25685D6E"/>
    <w:rsid w:val="257E0D99"/>
    <w:rsid w:val="25835FBC"/>
    <w:rsid w:val="25965D3D"/>
    <w:rsid w:val="25A12DD9"/>
    <w:rsid w:val="25C26B32"/>
    <w:rsid w:val="25C86273"/>
    <w:rsid w:val="25CB20DE"/>
    <w:rsid w:val="25DA49E2"/>
    <w:rsid w:val="26233A75"/>
    <w:rsid w:val="26445310"/>
    <w:rsid w:val="266F5B75"/>
    <w:rsid w:val="268061B4"/>
    <w:rsid w:val="269229A8"/>
    <w:rsid w:val="26CB663D"/>
    <w:rsid w:val="26CC5EBA"/>
    <w:rsid w:val="26D23C48"/>
    <w:rsid w:val="26DA3F62"/>
    <w:rsid w:val="26E01966"/>
    <w:rsid w:val="26E34FB2"/>
    <w:rsid w:val="26F253E2"/>
    <w:rsid w:val="26F55B81"/>
    <w:rsid w:val="27090EBD"/>
    <w:rsid w:val="27167E66"/>
    <w:rsid w:val="271D102C"/>
    <w:rsid w:val="27244EB6"/>
    <w:rsid w:val="27307214"/>
    <w:rsid w:val="274467BC"/>
    <w:rsid w:val="275E670E"/>
    <w:rsid w:val="276F1C0A"/>
    <w:rsid w:val="27707D7A"/>
    <w:rsid w:val="27B076AB"/>
    <w:rsid w:val="27EB05C2"/>
    <w:rsid w:val="280D4603"/>
    <w:rsid w:val="2810627B"/>
    <w:rsid w:val="28151E19"/>
    <w:rsid w:val="28235FAE"/>
    <w:rsid w:val="283F3EE2"/>
    <w:rsid w:val="284101E2"/>
    <w:rsid w:val="2852346A"/>
    <w:rsid w:val="28852E12"/>
    <w:rsid w:val="28976ACF"/>
    <w:rsid w:val="28996270"/>
    <w:rsid w:val="28B44E58"/>
    <w:rsid w:val="28DD7CC7"/>
    <w:rsid w:val="28DE1ED5"/>
    <w:rsid w:val="28FD468F"/>
    <w:rsid w:val="295B1F6B"/>
    <w:rsid w:val="29782621"/>
    <w:rsid w:val="29890093"/>
    <w:rsid w:val="29916F47"/>
    <w:rsid w:val="29A053DC"/>
    <w:rsid w:val="29F101ED"/>
    <w:rsid w:val="29F27FD8"/>
    <w:rsid w:val="29FF0559"/>
    <w:rsid w:val="2A16248A"/>
    <w:rsid w:val="2A175AF9"/>
    <w:rsid w:val="2A421663"/>
    <w:rsid w:val="2A4C6830"/>
    <w:rsid w:val="2A7228D5"/>
    <w:rsid w:val="2A750617"/>
    <w:rsid w:val="2A7A2226"/>
    <w:rsid w:val="2AA152C2"/>
    <w:rsid w:val="2AAA2063"/>
    <w:rsid w:val="2ACA020E"/>
    <w:rsid w:val="2ACA451F"/>
    <w:rsid w:val="2ACC6A20"/>
    <w:rsid w:val="2AD233E9"/>
    <w:rsid w:val="2AD70610"/>
    <w:rsid w:val="2AE70FDC"/>
    <w:rsid w:val="2AEF3F25"/>
    <w:rsid w:val="2B066F7B"/>
    <w:rsid w:val="2B207EA9"/>
    <w:rsid w:val="2B234BA1"/>
    <w:rsid w:val="2B356F3C"/>
    <w:rsid w:val="2B392F3E"/>
    <w:rsid w:val="2B586B41"/>
    <w:rsid w:val="2B724D2B"/>
    <w:rsid w:val="2B8559E6"/>
    <w:rsid w:val="2BA4714E"/>
    <w:rsid w:val="2BAA5CC3"/>
    <w:rsid w:val="2BB5365F"/>
    <w:rsid w:val="2BFF47C5"/>
    <w:rsid w:val="2C1B17A6"/>
    <w:rsid w:val="2C3279D2"/>
    <w:rsid w:val="2C3A5674"/>
    <w:rsid w:val="2C424719"/>
    <w:rsid w:val="2C70340D"/>
    <w:rsid w:val="2C7E2675"/>
    <w:rsid w:val="2C7F0500"/>
    <w:rsid w:val="2C9D59FF"/>
    <w:rsid w:val="2C9E00E8"/>
    <w:rsid w:val="2CA62D0A"/>
    <w:rsid w:val="2CA95DB8"/>
    <w:rsid w:val="2CAD4098"/>
    <w:rsid w:val="2CB20151"/>
    <w:rsid w:val="2CD56E91"/>
    <w:rsid w:val="2CF91A3F"/>
    <w:rsid w:val="2D0948F7"/>
    <w:rsid w:val="2D0D61FC"/>
    <w:rsid w:val="2D1548C7"/>
    <w:rsid w:val="2D1B54A6"/>
    <w:rsid w:val="2D1E4F96"/>
    <w:rsid w:val="2D4C4C78"/>
    <w:rsid w:val="2D64317E"/>
    <w:rsid w:val="2D8477E3"/>
    <w:rsid w:val="2D8A3D2F"/>
    <w:rsid w:val="2D9012A1"/>
    <w:rsid w:val="2D9E60D7"/>
    <w:rsid w:val="2D9F7082"/>
    <w:rsid w:val="2DA846A6"/>
    <w:rsid w:val="2DBD005A"/>
    <w:rsid w:val="2DC071BC"/>
    <w:rsid w:val="2DFE5055"/>
    <w:rsid w:val="2E0527A2"/>
    <w:rsid w:val="2E1D755E"/>
    <w:rsid w:val="2E2015C6"/>
    <w:rsid w:val="2E750BE6"/>
    <w:rsid w:val="2E82683A"/>
    <w:rsid w:val="2E9508AA"/>
    <w:rsid w:val="2EA94D3F"/>
    <w:rsid w:val="2EB920D4"/>
    <w:rsid w:val="2EBF4CDB"/>
    <w:rsid w:val="2EC73DA7"/>
    <w:rsid w:val="2EC740AE"/>
    <w:rsid w:val="2ECA6E64"/>
    <w:rsid w:val="2EE63891"/>
    <w:rsid w:val="2EEB70FA"/>
    <w:rsid w:val="2EF41DE0"/>
    <w:rsid w:val="2F0C34E0"/>
    <w:rsid w:val="2F255F0F"/>
    <w:rsid w:val="2F2D326E"/>
    <w:rsid w:val="2F2D3E72"/>
    <w:rsid w:val="2F451785"/>
    <w:rsid w:val="2F4A686A"/>
    <w:rsid w:val="2F527179"/>
    <w:rsid w:val="2F7013AD"/>
    <w:rsid w:val="2F804773"/>
    <w:rsid w:val="2F83192F"/>
    <w:rsid w:val="2F994CB2"/>
    <w:rsid w:val="2F9A34FD"/>
    <w:rsid w:val="2F9C7272"/>
    <w:rsid w:val="2FB20FFF"/>
    <w:rsid w:val="2FC448BC"/>
    <w:rsid w:val="2FD81674"/>
    <w:rsid w:val="2FEA0C29"/>
    <w:rsid w:val="300264A9"/>
    <w:rsid w:val="300E29B3"/>
    <w:rsid w:val="300F506A"/>
    <w:rsid w:val="303D3876"/>
    <w:rsid w:val="3049232A"/>
    <w:rsid w:val="305701CE"/>
    <w:rsid w:val="30744C88"/>
    <w:rsid w:val="30752DB6"/>
    <w:rsid w:val="309D61D2"/>
    <w:rsid w:val="30B56910"/>
    <w:rsid w:val="30ED5F37"/>
    <w:rsid w:val="30ED6CF2"/>
    <w:rsid w:val="30ED7B76"/>
    <w:rsid w:val="30F41A4D"/>
    <w:rsid w:val="30F5479B"/>
    <w:rsid w:val="30FB21E1"/>
    <w:rsid w:val="31055242"/>
    <w:rsid w:val="310D4304"/>
    <w:rsid w:val="311035DE"/>
    <w:rsid w:val="312E32CE"/>
    <w:rsid w:val="31600503"/>
    <w:rsid w:val="31864EB8"/>
    <w:rsid w:val="318B7901"/>
    <w:rsid w:val="31D15FD9"/>
    <w:rsid w:val="31EC5F48"/>
    <w:rsid w:val="31EE28F9"/>
    <w:rsid w:val="31F33F08"/>
    <w:rsid w:val="31F64379"/>
    <w:rsid w:val="31FE335B"/>
    <w:rsid w:val="32101078"/>
    <w:rsid w:val="3216623C"/>
    <w:rsid w:val="322E7A29"/>
    <w:rsid w:val="323A351E"/>
    <w:rsid w:val="324803BF"/>
    <w:rsid w:val="32537490"/>
    <w:rsid w:val="326F1DF0"/>
    <w:rsid w:val="327B6E8F"/>
    <w:rsid w:val="32BB5035"/>
    <w:rsid w:val="32BF68D3"/>
    <w:rsid w:val="32C43EEA"/>
    <w:rsid w:val="32D14858"/>
    <w:rsid w:val="32DA370D"/>
    <w:rsid w:val="32E75249"/>
    <w:rsid w:val="32F00FEE"/>
    <w:rsid w:val="32F06445"/>
    <w:rsid w:val="33087F73"/>
    <w:rsid w:val="33294383"/>
    <w:rsid w:val="33391DE5"/>
    <w:rsid w:val="3348667A"/>
    <w:rsid w:val="336F654B"/>
    <w:rsid w:val="337C6E6F"/>
    <w:rsid w:val="33B849D4"/>
    <w:rsid w:val="33B87B68"/>
    <w:rsid w:val="33BB681A"/>
    <w:rsid w:val="33CA6381"/>
    <w:rsid w:val="33D17B6B"/>
    <w:rsid w:val="33D40484"/>
    <w:rsid w:val="33D940BA"/>
    <w:rsid w:val="33EB36F8"/>
    <w:rsid w:val="34012F1B"/>
    <w:rsid w:val="34180991"/>
    <w:rsid w:val="342F48F7"/>
    <w:rsid w:val="345E3ECA"/>
    <w:rsid w:val="346F27C6"/>
    <w:rsid w:val="347112C6"/>
    <w:rsid w:val="348734CF"/>
    <w:rsid w:val="34977659"/>
    <w:rsid w:val="34A67D6C"/>
    <w:rsid w:val="34FC447A"/>
    <w:rsid w:val="34FE79FB"/>
    <w:rsid w:val="35154937"/>
    <w:rsid w:val="352041F6"/>
    <w:rsid w:val="352549E8"/>
    <w:rsid w:val="35527ED3"/>
    <w:rsid w:val="356D7F42"/>
    <w:rsid w:val="35A623D8"/>
    <w:rsid w:val="35AE5EB4"/>
    <w:rsid w:val="35B84163"/>
    <w:rsid w:val="35B90875"/>
    <w:rsid w:val="35BC534C"/>
    <w:rsid w:val="35CE46AE"/>
    <w:rsid w:val="35D040CB"/>
    <w:rsid w:val="35DA5322"/>
    <w:rsid w:val="35DE35E9"/>
    <w:rsid w:val="35E054DE"/>
    <w:rsid w:val="35EA1EB9"/>
    <w:rsid w:val="36032F7B"/>
    <w:rsid w:val="3623361D"/>
    <w:rsid w:val="363E0457"/>
    <w:rsid w:val="365723A0"/>
    <w:rsid w:val="366B498D"/>
    <w:rsid w:val="366C3066"/>
    <w:rsid w:val="36730100"/>
    <w:rsid w:val="36751224"/>
    <w:rsid w:val="367B1BC1"/>
    <w:rsid w:val="3687595A"/>
    <w:rsid w:val="369D1071"/>
    <w:rsid w:val="36BB1AA7"/>
    <w:rsid w:val="36BE6EA2"/>
    <w:rsid w:val="36CA5847"/>
    <w:rsid w:val="36CB62E7"/>
    <w:rsid w:val="36F2306C"/>
    <w:rsid w:val="36F72AFB"/>
    <w:rsid w:val="37142E18"/>
    <w:rsid w:val="372066CC"/>
    <w:rsid w:val="375515B4"/>
    <w:rsid w:val="375D66BB"/>
    <w:rsid w:val="376260C8"/>
    <w:rsid w:val="377D3E76"/>
    <w:rsid w:val="377F6B83"/>
    <w:rsid w:val="37977E1F"/>
    <w:rsid w:val="37A32ECD"/>
    <w:rsid w:val="37B41B31"/>
    <w:rsid w:val="37BC000F"/>
    <w:rsid w:val="37BE767C"/>
    <w:rsid w:val="37CB0FAA"/>
    <w:rsid w:val="37EF5949"/>
    <w:rsid w:val="3805122C"/>
    <w:rsid w:val="3814321D"/>
    <w:rsid w:val="383334E4"/>
    <w:rsid w:val="384271D0"/>
    <w:rsid w:val="38471845"/>
    <w:rsid w:val="384C6E5B"/>
    <w:rsid w:val="385009BF"/>
    <w:rsid w:val="385C6522"/>
    <w:rsid w:val="385F5794"/>
    <w:rsid w:val="38683787"/>
    <w:rsid w:val="388D1A3B"/>
    <w:rsid w:val="38944B3C"/>
    <w:rsid w:val="38BD3406"/>
    <w:rsid w:val="38C33EA2"/>
    <w:rsid w:val="38CF2341"/>
    <w:rsid w:val="38D5008E"/>
    <w:rsid w:val="38EE7F12"/>
    <w:rsid w:val="39022FC2"/>
    <w:rsid w:val="390E4110"/>
    <w:rsid w:val="391734C0"/>
    <w:rsid w:val="3925145A"/>
    <w:rsid w:val="39280D1A"/>
    <w:rsid w:val="39827B7C"/>
    <w:rsid w:val="39974173"/>
    <w:rsid w:val="39A01D15"/>
    <w:rsid w:val="39A53451"/>
    <w:rsid w:val="39AC56D7"/>
    <w:rsid w:val="39AE222F"/>
    <w:rsid w:val="39B527DE"/>
    <w:rsid w:val="39BB2AFB"/>
    <w:rsid w:val="39C33DA3"/>
    <w:rsid w:val="39D260A7"/>
    <w:rsid w:val="39D4303D"/>
    <w:rsid w:val="39D5064D"/>
    <w:rsid w:val="39DA600C"/>
    <w:rsid w:val="39DF3CFF"/>
    <w:rsid w:val="39E20006"/>
    <w:rsid w:val="39F20C9A"/>
    <w:rsid w:val="39F350B4"/>
    <w:rsid w:val="3A132B98"/>
    <w:rsid w:val="3A887EF3"/>
    <w:rsid w:val="3A964CA2"/>
    <w:rsid w:val="3AA840F1"/>
    <w:rsid w:val="3ACA22B9"/>
    <w:rsid w:val="3AE12711"/>
    <w:rsid w:val="3B0910A8"/>
    <w:rsid w:val="3B27770B"/>
    <w:rsid w:val="3B283B8A"/>
    <w:rsid w:val="3B2B1185"/>
    <w:rsid w:val="3B343BD6"/>
    <w:rsid w:val="3B6720EF"/>
    <w:rsid w:val="3B6E1985"/>
    <w:rsid w:val="3B8C62D6"/>
    <w:rsid w:val="3B9044DF"/>
    <w:rsid w:val="3B95677B"/>
    <w:rsid w:val="3BAB20EB"/>
    <w:rsid w:val="3BBD2756"/>
    <w:rsid w:val="3BD41192"/>
    <w:rsid w:val="3BE23632"/>
    <w:rsid w:val="3BE26657"/>
    <w:rsid w:val="3BF03FA1"/>
    <w:rsid w:val="3BFF5566"/>
    <w:rsid w:val="3C1A6612"/>
    <w:rsid w:val="3C24593E"/>
    <w:rsid w:val="3C2B3430"/>
    <w:rsid w:val="3C4271FA"/>
    <w:rsid w:val="3C770992"/>
    <w:rsid w:val="3C7B0826"/>
    <w:rsid w:val="3CC35212"/>
    <w:rsid w:val="3CD613E9"/>
    <w:rsid w:val="3CD63197"/>
    <w:rsid w:val="3CDE3B55"/>
    <w:rsid w:val="3CDE5A3A"/>
    <w:rsid w:val="3CEC5689"/>
    <w:rsid w:val="3D013191"/>
    <w:rsid w:val="3D0731E6"/>
    <w:rsid w:val="3D08531B"/>
    <w:rsid w:val="3D1D7FBF"/>
    <w:rsid w:val="3D254E4B"/>
    <w:rsid w:val="3D2A7CD4"/>
    <w:rsid w:val="3D4E0F7F"/>
    <w:rsid w:val="3D4E5423"/>
    <w:rsid w:val="3D643600"/>
    <w:rsid w:val="3DA45043"/>
    <w:rsid w:val="3DA45CB2"/>
    <w:rsid w:val="3DAE7C70"/>
    <w:rsid w:val="3DDA6CB7"/>
    <w:rsid w:val="3DDE7208"/>
    <w:rsid w:val="3DE27A9B"/>
    <w:rsid w:val="3E0B4A65"/>
    <w:rsid w:val="3E1917FC"/>
    <w:rsid w:val="3E194C7B"/>
    <w:rsid w:val="3E310271"/>
    <w:rsid w:val="3E3A0D01"/>
    <w:rsid w:val="3E673147"/>
    <w:rsid w:val="3E7474C5"/>
    <w:rsid w:val="3E772B2E"/>
    <w:rsid w:val="3E853709"/>
    <w:rsid w:val="3E9E0431"/>
    <w:rsid w:val="3EC05384"/>
    <w:rsid w:val="3ECA54DD"/>
    <w:rsid w:val="3EDE27D7"/>
    <w:rsid w:val="3EE4400B"/>
    <w:rsid w:val="3EF611E6"/>
    <w:rsid w:val="3F0264C5"/>
    <w:rsid w:val="3F172887"/>
    <w:rsid w:val="3F1E4982"/>
    <w:rsid w:val="3F222FE0"/>
    <w:rsid w:val="3F2E72C4"/>
    <w:rsid w:val="3F3B4420"/>
    <w:rsid w:val="3F402333"/>
    <w:rsid w:val="3F4D76DD"/>
    <w:rsid w:val="3F6103DE"/>
    <w:rsid w:val="3FC01DFA"/>
    <w:rsid w:val="3FC75019"/>
    <w:rsid w:val="3FEF55C5"/>
    <w:rsid w:val="3FF32EFC"/>
    <w:rsid w:val="400C5122"/>
    <w:rsid w:val="40134CFD"/>
    <w:rsid w:val="402205BD"/>
    <w:rsid w:val="40320146"/>
    <w:rsid w:val="40362C79"/>
    <w:rsid w:val="406945C3"/>
    <w:rsid w:val="406A3401"/>
    <w:rsid w:val="406F6832"/>
    <w:rsid w:val="40727B47"/>
    <w:rsid w:val="408651AA"/>
    <w:rsid w:val="408812A1"/>
    <w:rsid w:val="408F67D7"/>
    <w:rsid w:val="40906071"/>
    <w:rsid w:val="40A13ABC"/>
    <w:rsid w:val="40E90B18"/>
    <w:rsid w:val="40FA31CC"/>
    <w:rsid w:val="410B117F"/>
    <w:rsid w:val="41270B99"/>
    <w:rsid w:val="412E1809"/>
    <w:rsid w:val="415A3828"/>
    <w:rsid w:val="416168A9"/>
    <w:rsid w:val="416845DA"/>
    <w:rsid w:val="4181395F"/>
    <w:rsid w:val="41A503D5"/>
    <w:rsid w:val="41AA6639"/>
    <w:rsid w:val="41AB6068"/>
    <w:rsid w:val="41B16896"/>
    <w:rsid w:val="41C73BA3"/>
    <w:rsid w:val="41CE2C59"/>
    <w:rsid w:val="41D96828"/>
    <w:rsid w:val="41E750FE"/>
    <w:rsid w:val="41F67E38"/>
    <w:rsid w:val="41F836BE"/>
    <w:rsid w:val="4206180B"/>
    <w:rsid w:val="42072EE9"/>
    <w:rsid w:val="422F1170"/>
    <w:rsid w:val="42301D21"/>
    <w:rsid w:val="42434AC7"/>
    <w:rsid w:val="424E37D0"/>
    <w:rsid w:val="42512A5B"/>
    <w:rsid w:val="425B0CB6"/>
    <w:rsid w:val="42723962"/>
    <w:rsid w:val="42755200"/>
    <w:rsid w:val="42836415"/>
    <w:rsid w:val="42BD2703"/>
    <w:rsid w:val="42BF022A"/>
    <w:rsid w:val="42E9345E"/>
    <w:rsid w:val="430A0135"/>
    <w:rsid w:val="43192030"/>
    <w:rsid w:val="43427296"/>
    <w:rsid w:val="4348021F"/>
    <w:rsid w:val="43486FC5"/>
    <w:rsid w:val="436D5ED7"/>
    <w:rsid w:val="436F7EA2"/>
    <w:rsid w:val="43762FDE"/>
    <w:rsid w:val="437B6846"/>
    <w:rsid w:val="438324EF"/>
    <w:rsid w:val="438405CD"/>
    <w:rsid w:val="43880F63"/>
    <w:rsid w:val="43AF64F0"/>
    <w:rsid w:val="43B12268"/>
    <w:rsid w:val="43D13417"/>
    <w:rsid w:val="43FE4D82"/>
    <w:rsid w:val="441F577B"/>
    <w:rsid w:val="4436276D"/>
    <w:rsid w:val="443F607C"/>
    <w:rsid w:val="44666861"/>
    <w:rsid w:val="446F6FC1"/>
    <w:rsid w:val="449D7370"/>
    <w:rsid w:val="44A57DDF"/>
    <w:rsid w:val="44E658B7"/>
    <w:rsid w:val="45070715"/>
    <w:rsid w:val="451E0CB6"/>
    <w:rsid w:val="45322F35"/>
    <w:rsid w:val="453579B5"/>
    <w:rsid w:val="453A52BD"/>
    <w:rsid w:val="45406E1A"/>
    <w:rsid w:val="45704CF5"/>
    <w:rsid w:val="45726B02"/>
    <w:rsid w:val="45857508"/>
    <w:rsid w:val="45880BDF"/>
    <w:rsid w:val="45C85647"/>
    <w:rsid w:val="45CB3E84"/>
    <w:rsid w:val="45CD7101"/>
    <w:rsid w:val="45D514DB"/>
    <w:rsid w:val="45DB537A"/>
    <w:rsid w:val="45E10CC7"/>
    <w:rsid w:val="45E87EEF"/>
    <w:rsid w:val="45FC019C"/>
    <w:rsid w:val="46177843"/>
    <w:rsid w:val="462F56C6"/>
    <w:rsid w:val="46324454"/>
    <w:rsid w:val="463B15AE"/>
    <w:rsid w:val="46494E1C"/>
    <w:rsid w:val="464C0026"/>
    <w:rsid w:val="464C54F2"/>
    <w:rsid w:val="464D121A"/>
    <w:rsid w:val="464F176F"/>
    <w:rsid w:val="46503FBA"/>
    <w:rsid w:val="4654337F"/>
    <w:rsid w:val="46737941"/>
    <w:rsid w:val="467B289A"/>
    <w:rsid w:val="467D3578"/>
    <w:rsid w:val="46881C14"/>
    <w:rsid w:val="4690085B"/>
    <w:rsid w:val="469A2A78"/>
    <w:rsid w:val="46A0170F"/>
    <w:rsid w:val="46A22FA8"/>
    <w:rsid w:val="46A606A1"/>
    <w:rsid w:val="46A936CA"/>
    <w:rsid w:val="46C3440D"/>
    <w:rsid w:val="46C87FF5"/>
    <w:rsid w:val="46CE3131"/>
    <w:rsid w:val="46D032C7"/>
    <w:rsid w:val="46E57892"/>
    <w:rsid w:val="46E72716"/>
    <w:rsid w:val="46ED1809"/>
    <w:rsid w:val="471823E8"/>
    <w:rsid w:val="47195E2A"/>
    <w:rsid w:val="471C7F42"/>
    <w:rsid w:val="471D19C3"/>
    <w:rsid w:val="47341D77"/>
    <w:rsid w:val="4753289C"/>
    <w:rsid w:val="47665328"/>
    <w:rsid w:val="47763D4D"/>
    <w:rsid w:val="47B6609F"/>
    <w:rsid w:val="47F0411D"/>
    <w:rsid w:val="480356D5"/>
    <w:rsid w:val="480C2163"/>
    <w:rsid w:val="480F7BC7"/>
    <w:rsid w:val="481D7ADA"/>
    <w:rsid w:val="48446D0B"/>
    <w:rsid w:val="487114EA"/>
    <w:rsid w:val="487321E2"/>
    <w:rsid w:val="488B6A44"/>
    <w:rsid w:val="48921FD6"/>
    <w:rsid w:val="48E861DE"/>
    <w:rsid w:val="48ED577E"/>
    <w:rsid w:val="48FB73A4"/>
    <w:rsid w:val="49357497"/>
    <w:rsid w:val="493A2D00"/>
    <w:rsid w:val="49403578"/>
    <w:rsid w:val="4960212C"/>
    <w:rsid w:val="49773C28"/>
    <w:rsid w:val="497A30FC"/>
    <w:rsid w:val="49962FE1"/>
    <w:rsid w:val="49A81A17"/>
    <w:rsid w:val="49BC54C3"/>
    <w:rsid w:val="49D55CE0"/>
    <w:rsid w:val="49FF31B8"/>
    <w:rsid w:val="4A037596"/>
    <w:rsid w:val="4A143551"/>
    <w:rsid w:val="4A370FED"/>
    <w:rsid w:val="4A5E47CC"/>
    <w:rsid w:val="4A687C24"/>
    <w:rsid w:val="4A8204BA"/>
    <w:rsid w:val="4A82670C"/>
    <w:rsid w:val="4A8D0DD3"/>
    <w:rsid w:val="4A9F23B5"/>
    <w:rsid w:val="4AA30431"/>
    <w:rsid w:val="4AB30511"/>
    <w:rsid w:val="4AB6302F"/>
    <w:rsid w:val="4AC27530"/>
    <w:rsid w:val="4AC41C6A"/>
    <w:rsid w:val="4ACA1E61"/>
    <w:rsid w:val="4AD30D16"/>
    <w:rsid w:val="4AD55208"/>
    <w:rsid w:val="4AE063AD"/>
    <w:rsid w:val="4AFE45F7"/>
    <w:rsid w:val="4B082B2F"/>
    <w:rsid w:val="4B271062"/>
    <w:rsid w:val="4B2F3C11"/>
    <w:rsid w:val="4B47219D"/>
    <w:rsid w:val="4B691DEB"/>
    <w:rsid w:val="4B867A5E"/>
    <w:rsid w:val="4B8A2A0D"/>
    <w:rsid w:val="4BAF6489"/>
    <w:rsid w:val="4BB40B47"/>
    <w:rsid w:val="4BB749CD"/>
    <w:rsid w:val="4BCB0138"/>
    <w:rsid w:val="4BDE28E8"/>
    <w:rsid w:val="4BEE652D"/>
    <w:rsid w:val="4BF935DC"/>
    <w:rsid w:val="4C033D8E"/>
    <w:rsid w:val="4C157813"/>
    <w:rsid w:val="4C1930A0"/>
    <w:rsid w:val="4C1B775E"/>
    <w:rsid w:val="4C1D4081"/>
    <w:rsid w:val="4C211F55"/>
    <w:rsid w:val="4C290139"/>
    <w:rsid w:val="4C3337D0"/>
    <w:rsid w:val="4C3440CD"/>
    <w:rsid w:val="4C3923DB"/>
    <w:rsid w:val="4C3B4DC5"/>
    <w:rsid w:val="4C426A60"/>
    <w:rsid w:val="4C442EC3"/>
    <w:rsid w:val="4C4B6B7C"/>
    <w:rsid w:val="4C683B50"/>
    <w:rsid w:val="4C6F3738"/>
    <w:rsid w:val="4C7648D7"/>
    <w:rsid w:val="4C885B30"/>
    <w:rsid w:val="4C8A2E46"/>
    <w:rsid w:val="4C9170DB"/>
    <w:rsid w:val="4C985CF9"/>
    <w:rsid w:val="4C9A0E65"/>
    <w:rsid w:val="4CA63DE7"/>
    <w:rsid w:val="4CAE37E9"/>
    <w:rsid w:val="4CB4635D"/>
    <w:rsid w:val="4CD77234"/>
    <w:rsid w:val="4CFA4C80"/>
    <w:rsid w:val="4D1D271C"/>
    <w:rsid w:val="4D6420F9"/>
    <w:rsid w:val="4D6B792C"/>
    <w:rsid w:val="4D8C494F"/>
    <w:rsid w:val="4D911164"/>
    <w:rsid w:val="4D913ADD"/>
    <w:rsid w:val="4D9218E1"/>
    <w:rsid w:val="4D98024B"/>
    <w:rsid w:val="4D9F626A"/>
    <w:rsid w:val="4DA67CFD"/>
    <w:rsid w:val="4DBE1B6C"/>
    <w:rsid w:val="4DC077B7"/>
    <w:rsid w:val="4DF01C6D"/>
    <w:rsid w:val="4E105DDD"/>
    <w:rsid w:val="4E550E73"/>
    <w:rsid w:val="4E61135D"/>
    <w:rsid w:val="4E975330"/>
    <w:rsid w:val="4EB64BD7"/>
    <w:rsid w:val="4EC905AB"/>
    <w:rsid w:val="4ECB2ED2"/>
    <w:rsid w:val="4ED51F39"/>
    <w:rsid w:val="4EE400F6"/>
    <w:rsid w:val="4EEE19AB"/>
    <w:rsid w:val="4F043B94"/>
    <w:rsid w:val="4F10078B"/>
    <w:rsid w:val="4F1E452A"/>
    <w:rsid w:val="4F244FCF"/>
    <w:rsid w:val="4F253B0A"/>
    <w:rsid w:val="4F377967"/>
    <w:rsid w:val="4F63535B"/>
    <w:rsid w:val="4F692007"/>
    <w:rsid w:val="4F7A7D35"/>
    <w:rsid w:val="4F8A1684"/>
    <w:rsid w:val="4F8B6063"/>
    <w:rsid w:val="4F8B7E11"/>
    <w:rsid w:val="4FA50603"/>
    <w:rsid w:val="4FA7451F"/>
    <w:rsid w:val="4FCB46B2"/>
    <w:rsid w:val="4FCD042A"/>
    <w:rsid w:val="4FD044CB"/>
    <w:rsid w:val="4FDF1F0B"/>
    <w:rsid w:val="4FE85264"/>
    <w:rsid w:val="50102255"/>
    <w:rsid w:val="501260A8"/>
    <w:rsid w:val="502E6463"/>
    <w:rsid w:val="505A28B7"/>
    <w:rsid w:val="505D60AC"/>
    <w:rsid w:val="50903205"/>
    <w:rsid w:val="509E6660"/>
    <w:rsid w:val="50A43C01"/>
    <w:rsid w:val="50AC1E96"/>
    <w:rsid w:val="50BF5E83"/>
    <w:rsid w:val="50E517A3"/>
    <w:rsid w:val="50F22A39"/>
    <w:rsid w:val="50F934A0"/>
    <w:rsid w:val="51043056"/>
    <w:rsid w:val="510E0CFA"/>
    <w:rsid w:val="511552D2"/>
    <w:rsid w:val="51333CA7"/>
    <w:rsid w:val="51351EF4"/>
    <w:rsid w:val="513F5357"/>
    <w:rsid w:val="513F5914"/>
    <w:rsid w:val="51524269"/>
    <w:rsid w:val="515650D8"/>
    <w:rsid w:val="515B1A65"/>
    <w:rsid w:val="51650CDB"/>
    <w:rsid w:val="51677BCF"/>
    <w:rsid w:val="5175252B"/>
    <w:rsid w:val="51764AF1"/>
    <w:rsid w:val="517D7C2E"/>
    <w:rsid w:val="518A40F8"/>
    <w:rsid w:val="518C7E71"/>
    <w:rsid w:val="51A72EFC"/>
    <w:rsid w:val="51DA654B"/>
    <w:rsid w:val="51F02FA9"/>
    <w:rsid w:val="51F108BD"/>
    <w:rsid w:val="52005B4E"/>
    <w:rsid w:val="520862C3"/>
    <w:rsid w:val="521A1920"/>
    <w:rsid w:val="522510AD"/>
    <w:rsid w:val="5226042C"/>
    <w:rsid w:val="522E3BFF"/>
    <w:rsid w:val="523538C6"/>
    <w:rsid w:val="52383B54"/>
    <w:rsid w:val="52466271"/>
    <w:rsid w:val="52557820"/>
    <w:rsid w:val="52811BF9"/>
    <w:rsid w:val="528C3333"/>
    <w:rsid w:val="528D3EA0"/>
    <w:rsid w:val="528F15C5"/>
    <w:rsid w:val="52D84BFF"/>
    <w:rsid w:val="52DB51E3"/>
    <w:rsid w:val="52FD2C12"/>
    <w:rsid w:val="5302183A"/>
    <w:rsid w:val="5311478A"/>
    <w:rsid w:val="531620E8"/>
    <w:rsid w:val="53236374"/>
    <w:rsid w:val="532F27EE"/>
    <w:rsid w:val="53690469"/>
    <w:rsid w:val="53735011"/>
    <w:rsid w:val="537E4CD3"/>
    <w:rsid w:val="5382152B"/>
    <w:rsid w:val="538F59F6"/>
    <w:rsid w:val="53937294"/>
    <w:rsid w:val="53952781"/>
    <w:rsid w:val="5399336D"/>
    <w:rsid w:val="53D33222"/>
    <w:rsid w:val="53DF766E"/>
    <w:rsid w:val="53F77E65"/>
    <w:rsid w:val="53F9728F"/>
    <w:rsid w:val="541D0AB1"/>
    <w:rsid w:val="54216F96"/>
    <w:rsid w:val="542E7C25"/>
    <w:rsid w:val="54396CC1"/>
    <w:rsid w:val="544762D1"/>
    <w:rsid w:val="545A049F"/>
    <w:rsid w:val="546F0C65"/>
    <w:rsid w:val="548A25BF"/>
    <w:rsid w:val="548B3222"/>
    <w:rsid w:val="549F0DC3"/>
    <w:rsid w:val="54A40077"/>
    <w:rsid w:val="54C16083"/>
    <w:rsid w:val="54D933CD"/>
    <w:rsid w:val="54DC4464"/>
    <w:rsid w:val="54E02F26"/>
    <w:rsid w:val="54E3249D"/>
    <w:rsid w:val="54EF234D"/>
    <w:rsid w:val="55164621"/>
    <w:rsid w:val="551F0656"/>
    <w:rsid w:val="552F3B67"/>
    <w:rsid w:val="55491250"/>
    <w:rsid w:val="555146E8"/>
    <w:rsid w:val="55545149"/>
    <w:rsid w:val="55593060"/>
    <w:rsid w:val="556B1767"/>
    <w:rsid w:val="55765C1D"/>
    <w:rsid w:val="55790198"/>
    <w:rsid w:val="558A2919"/>
    <w:rsid w:val="55933216"/>
    <w:rsid w:val="55937A20"/>
    <w:rsid w:val="55A274B6"/>
    <w:rsid w:val="55A82D9F"/>
    <w:rsid w:val="55B43C43"/>
    <w:rsid w:val="55BA31FE"/>
    <w:rsid w:val="55D0786B"/>
    <w:rsid w:val="55DD5CB4"/>
    <w:rsid w:val="55E02EDB"/>
    <w:rsid w:val="56416338"/>
    <w:rsid w:val="56462CE4"/>
    <w:rsid w:val="564D6C27"/>
    <w:rsid w:val="5656675D"/>
    <w:rsid w:val="56A60C81"/>
    <w:rsid w:val="56B40E76"/>
    <w:rsid w:val="571A7346"/>
    <w:rsid w:val="572D4A2F"/>
    <w:rsid w:val="5731087A"/>
    <w:rsid w:val="5742757D"/>
    <w:rsid w:val="574D3BFE"/>
    <w:rsid w:val="574F6249"/>
    <w:rsid w:val="575D6537"/>
    <w:rsid w:val="57715068"/>
    <w:rsid w:val="5789732C"/>
    <w:rsid w:val="57B152D2"/>
    <w:rsid w:val="57B4461F"/>
    <w:rsid w:val="57D95558"/>
    <w:rsid w:val="57E5652D"/>
    <w:rsid w:val="57FB0B32"/>
    <w:rsid w:val="58095D77"/>
    <w:rsid w:val="582A4DDF"/>
    <w:rsid w:val="58351824"/>
    <w:rsid w:val="587F428B"/>
    <w:rsid w:val="5897595F"/>
    <w:rsid w:val="5898359F"/>
    <w:rsid w:val="58A67DD1"/>
    <w:rsid w:val="58C079C7"/>
    <w:rsid w:val="58CF5213"/>
    <w:rsid w:val="58D004CB"/>
    <w:rsid w:val="58EF1411"/>
    <w:rsid w:val="58FD3402"/>
    <w:rsid w:val="591930C3"/>
    <w:rsid w:val="59472A02"/>
    <w:rsid w:val="596428D3"/>
    <w:rsid w:val="596D0588"/>
    <w:rsid w:val="59750444"/>
    <w:rsid w:val="598C6DF6"/>
    <w:rsid w:val="59AB1DA0"/>
    <w:rsid w:val="59AD4947"/>
    <w:rsid w:val="59C21466"/>
    <w:rsid w:val="59D52229"/>
    <w:rsid w:val="59E36A9C"/>
    <w:rsid w:val="5A3317D1"/>
    <w:rsid w:val="5A427C66"/>
    <w:rsid w:val="5A493AAE"/>
    <w:rsid w:val="5A506F9B"/>
    <w:rsid w:val="5A5961EF"/>
    <w:rsid w:val="5A700229"/>
    <w:rsid w:val="5A8703E3"/>
    <w:rsid w:val="5A9209EF"/>
    <w:rsid w:val="5AAC50E0"/>
    <w:rsid w:val="5ABB5725"/>
    <w:rsid w:val="5AC6035D"/>
    <w:rsid w:val="5AE64A95"/>
    <w:rsid w:val="5AF31824"/>
    <w:rsid w:val="5AF563EF"/>
    <w:rsid w:val="5AF65419"/>
    <w:rsid w:val="5B0662CB"/>
    <w:rsid w:val="5B0877FA"/>
    <w:rsid w:val="5B0B1E06"/>
    <w:rsid w:val="5B123195"/>
    <w:rsid w:val="5B23548E"/>
    <w:rsid w:val="5B2555BE"/>
    <w:rsid w:val="5B4A6DD2"/>
    <w:rsid w:val="5B5952F0"/>
    <w:rsid w:val="5B7E60FC"/>
    <w:rsid w:val="5BA6198E"/>
    <w:rsid w:val="5BAA161F"/>
    <w:rsid w:val="5C2515ED"/>
    <w:rsid w:val="5C313AEE"/>
    <w:rsid w:val="5C3D3278"/>
    <w:rsid w:val="5C4001D5"/>
    <w:rsid w:val="5C705A1F"/>
    <w:rsid w:val="5C826B51"/>
    <w:rsid w:val="5C912102"/>
    <w:rsid w:val="5C9C18B0"/>
    <w:rsid w:val="5CB85FBE"/>
    <w:rsid w:val="5CC613FD"/>
    <w:rsid w:val="5CED4F23"/>
    <w:rsid w:val="5CF82EF2"/>
    <w:rsid w:val="5D064F7B"/>
    <w:rsid w:val="5D0A6805"/>
    <w:rsid w:val="5D1A6B11"/>
    <w:rsid w:val="5D310209"/>
    <w:rsid w:val="5D5757D7"/>
    <w:rsid w:val="5D665A1A"/>
    <w:rsid w:val="5D753EAF"/>
    <w:rsid w:val="5D900CE9"/>
    <w:rsid w:val="5D973CC0"/>
    <w:rsid w:val="5DCA244C"/>
    <w:rsid w:val="5DFB43B4"/>
    <w:rsid w:val="5E032790"/>
    <w:rsid w:val="5E447901"/>
    <w:rsid w:val="5E4B1131"/>
    <w:rsid w:val="5E5225FF"/>
    <w:rsid w:val="5E567766"/>
    <w:rsid w:val="5E826883"/>
    <w:rsid w:val="5E9D3A08"/>
    <w:rsid w:val="5EA77945"/>
    <w:rsid w:val="5EB37FD7"/>
    <w:rsid w:val="5ED65E9E"/>
    <w:rsid w:val="5EE66E12"/>
    <w:rsid w:val="5EE93E95"/>
    <w:rsid w:val="5F100271"/>
    <w:rsid w:val="5F2F2831"/>
    <w:rsid w:val="5F7A39FE"/>
    <w:rsid w:val="5F7A57AC"/>
    <w:rsid w:val="5F7D4880"/>
    <w:rsid w:val="5F8F74AA"/>
    <w:rsid w:val="5F984D27"/>
    <w:rsid w:val="5FA10F8B"/>
    <w:rsid w:val="5FE617BF"/>
    <w:rsid w:val="5FE64BF0"/>
    <w:rsid w:val="5FE8797A"/>
    <w:rsid w:val="6017749F"/>
    <w:rsid w:val="60275C02"/>
    <w:rsid w:val="603F4A29"/>
    <w:rsid w:val="604C0EF7"/>
    <w:rsid w:val="606011F5"/>
    <w:rsid w:val="608E6EF1"/>
    <w:rsid w:val="60A01B8E"/>
    <w:rsid w:val="60CD25B7"/>
    <w:rsid w:val="60D64C64"/>
    <w:rsid w:val="60F5158E"/>
    <w:rsid w:val="6107718E"/>
    <w:rsid w:val="61113EEE"/>
    <w:rsid w:val="6122484D"/>
    <w:rsid w:val="61261CDB"/>
    <w:rsid w:val="613657CA"/>
    <w:rsid w:val="613F0A5C"/>
    <w:rsid w:val="615C724D"/>
    <w:rsid w:val="6164220F"/>
    <w:rsid w:val="616C02AF"/>
    <w:rsid w:val="61914D9C"/>
    <w:rsid w:val="61A056D1"/>
    <w:rsid w:val="61A73945"/>
    <w:rsid w:val="61B36952"/>
    <w:rsid w:val="61B74A96"/>
    <w:rsid w:val="61BE5E24"/>
    <w:rsid w:val="61E67129"/>
    <w:rsid w:val="61EA6C19"/>
    <w:rsid w:val="61F05BDB"/>
    <w:rsid w:val="62061579"/>
    <w:rsid w:val="62076FC6"/>
    <w:rsid w:val="621413E8"/>
    <w:rsid w:val="622651BE"/>
    <w:rsid w:val="623B7FC1"/>
    <w:rsid w:val="626058F1"/>
    <w:rsid w:val="6261136A"/>
    <w:rsid w:val="62675B5F"/>
    <w:rsid w:val="626C278F"/>
    <w:rsid w:val="62726C0F"/>
    <w:rsid w:val="62A73117"/>
    <w:rsid w:val="62B13E15"/>
    <w:rsid w:val="62B45479"/>
    <w:rsid w:val="62C25DC1"/>
    <w:rsid w:val="62C775B6"/>
    <w:rsid w:val="62CD3A21"/>
    <w:rsid w:val="62DE6052"/>
    <w:rsid w:val="62E9056F"/>
    <w:rsid w:val="62F82D31"/>
    <w:rsid w:val="63451804"/>
    <w:rsid w:val="63464323"/>
    <w:rsid w:val="636C2BE9"/>
    <w:rsid w:val="63721D0E"/>
    <w:rsid w:val="63AA328D"/>
    <w:rsid w:val="63CB2A7A"/>
    <w:rsid w:val="63D8548A"/>
    <w:rsid w:val="63EB2A2D"/>
    <w:rsid w:val="63ED59B9"/>
    <w:rsid w:val="63FE023F"/>
    <w:rsid w:val="640C2CE7"/>
    <w:rsid w:val="64116EC5"/>
    <w:rsid w:val="642947D3"/>
    <w:rsid w:val="644D317A"/>
    <w:rsid w:val="646627A3"/>
    <w:rsid w:val="649E3CEB"/>
    <w:rsid w:val="64A87604"/>
    <w:rsid w:val="64AA2BA3"/>
    <w:rsid w:val="64B475B4"/>
    <w:rsid w:val="64D13A7A"/>
    <w:rsid w:val="64D65C16"/>
    <w:rsid w:val="64DD6861"/>
    <w:rsid w:val="64EA6203"/>
    <w:rsid w:val="64EE412E"/>
    <w:rsid w:val="64F67403"/>
    <w:rsid w:val="64FD6F24"/>
    <w:rsid w:val="650647F6"/>
    <w:rsid w:val="650F6997"/>
    <w:rsid w:val="6530580C"/>
    <w:rsid w:val="653B778C"/>
    <w:rsid w:val="654A5B17"/>
    <w:rsid w:val="654E019A"/>
    <w:rsid w:val="6575452D"/>
    <w:rsid w:val="657A6077"/>
    <w:rsid w:val="657B402C"/>
    <w:rsid w:val="65817895"/>
    <w:rsid w:val="658253BB"/>
    <w:rsid w:val="65A65FB1"/>
    <w:rsid w:val="65B759C2"/>
    <w:rsid w:val="65C54E88"/>
    <w:rsid w:val="65E816C2"/>
    <w:rsid w:val="65E847B1"/>
    <w:rsid w:val="65F12C81"/>
    <w:rsid w:val="65FC516D"/>
    <w:rsid w:val="66070380"/>
    <w:rsid w:val="661118E0"/>
    <w:rsid w:val="66320B8F"/>
    <w:rsid w:val="663A5C95"/>
    <w:rsid w:val="663C37BC"/>
    <w:rsid w:val="66567C98"/>
    <w:rsid w:val="6681025D"/>
    <w:rsid w:val="668F2BF0"/>
    <w:rsid w:val="66C336DD"/>
    <w:rsid w:val="66C54326"/>
    <w:rsid w:val="66D954AE"/>
    <w:rsid w:val="66E3632D"/>
    <w:rsid w:val="66E62C32"/>
    <w:rsid w:val="66E75E1D"/>
    <w:rsid w:val="66F45E44"/>
    <w:rsid w:val="672C5A47"/>
    <w:rsid w:val="673F2C72"/>
    <w:rsid w:val="676A445B"/>
    <w:rsid w:val="6773109E"/>
    <w:rsid w:val="67982C74"/>
    <w:rsid w:val="67CF5D1C"/>
    <w:rsid w:val="67D141C2"/>
    <w:rsid w:val="67D148EC"/>
    <w:rsid w:val="67D80486"/>
    <w:rsid w:val="67E22067"/>
    <w:rsid w:val="67E36959"/>
    <w:rsid w:val="67F879B2"/>
    <w:rsid w:val="68110444"/>
    <w:rsid w:val="683F5D41"/>
    <w:rsid w:val="684140AE"/>
    <w:rsid w:val="68540D2F"/>
    <w:rsid w:val="6861575B"/>
    <w:rsid w:val="6876553B"/>
    <w:rsid w:val="68807719"/>
    <w:rsid w:val="68A33FC6"/>
    <w:rsid w:val="68CE384C"/>
    <w:rsid w:val="68D75A1D"/>
    <w:rsid w:val="68E302E5"/>
    <w:rsid w:val="690A7DA7"/>
    <w:rsid w:val="69154011"/>
    <w:rsid w:val="691E189E"/>
    <w:rsid w:val="6949237B"/>
    <w:rsid w:val="696B22C3"/>
    <w:rsid w:val="696F7D1E"/>
    <w:rsid w:val="699102C2"/>
    <w:rsid w:val="699B2EEF"/>
    <w:rsid w:val="699E02E9"/>
    <w:rsid w:val="69CE5B8C"/>
    <w:rsid w:val="69D92D2B"/>
    <w:rsid w:val="69DC778F"/>
    <w:rsid w:val="69F853B1"/>
    <w:rsid w:val="6A0E06F6"/>
    <w:rsid w:val="6A3550F2"/>
    <w:rsid w:val="6A5C267E"/>
    <w:rsid w:val="6A8A3E6E"/>
    <w:rsid w:val="6A8D5B65"/>
    <w:rsid w:val="6AA35967"/>
    <w:rsid w:val="6AAB0F10"/>
    <w:rsid w:val="6AAB53B4"/>
    <w:rsid w:val="6AC00E5F"/>
    <w:rsid w:val="6AC9032C"/>
    <w:rsid w:val="6ADC731B"/>
    <w:rsid w:val="6AE461D0"/>
    <w:rsid w:val="6AE766A1"/>
    <w:rsid w:val="6AEF7C09"/>
    <w:rsid w:val="6AFD00C2"/>
    <w:rsid w:val="6B453112"/>
    <w:rsid w:val="6B5E5F82"/>
    <w:rsid w:val="6B842586"/>
    <w:rsid w:val="6B875938"/>
    <w:rsid w:val="6B935369"/>
    <w:rsid w:val="6B9C6327"/>
    <w:rsid w:val="6BA07497"/>
    <w:rsid w:val="6BA3608B"/>
    <w:rsid w:val="6BC3086A"/>
    <w:rsid w:val="6BCE3108"/>
    <w:rsid w:val="6BF66210"/>
    <w:rsid w:val="6C2076DB"/>
    <w:rsid w:val="6C2157F2"/>
    <w:rsid w:val="6C2F0EF2"/>
    <w:rsid w:val="6C3A5C83"/>
    <w:rsid w:val="6C53360D"/>
    <w:rsid w:val="6C586E75"/>
    <w:rsid w:val="6C68355C"/>
    <w:rsid w:val="6C976A69"/>
    <w:rsid w:val="6CA36342"/>
    <w:rsid w:val="6CC804C8"/>
    <w:rsid w:val="6CC93235"/>
    <w:rsid w:val="6CD81D64"/>
    <w:rsid w:val="6CE028AE"/>
    <w:rsid w:val="6CE32BE3"/>
    <w:rsid w:val="6CEC6FD0"/>
    <w:rsid w:val="6CFC0D94"/>
    <w:rsid w:val="6D1622F5"/>
    <w:rsid w:val="6D1F1741"/>
    <w:rsid w:val="6D3671B7"/>
    <w:rsid w:val="6D395D42"/>
    <w:rsid w:val="6D4535F9"/>
    <w:rsid w:val="6D5C369D"/>
    <w:rsid w:val="6D650099"/>
    <w:rsid w:val="6D7101EF"/>
    <w:rsid w:val="6D787F07"/>
    <w:rsid w:val="6D8228ED"/>
    <w:rsid w:val="6DA72132"/>
    <w:rsid w:val="6DB85E1E"/>
    <w:rsid w:val="6DC42971"/>
    <w:rsid w:val="6DFD3328"/>
    <w:rsid w:val="6E5E73CE"/>
    <w:rsid w:val="6E5F098F"/>
    <w:rsid w:val="6E68642E"/>
    <w:rsid w:val="6E767C7B"/>
    <w:rsid w:val="6E82527D"/>
    <w:rsid w:val="6E952369"/>
    <w:rsid w:val="6EDF562C"/>
    <w:rsid w:val="6EE669BA"/>
    <w:rsid w:val="6EF72976"/>
    <w:rsid w:val="6EF740FB"/>
    <w:rsid w:val="6F00742E"/>
    <w:rsid w:val="6F0137F4"/>
    <w:rsid w:val="6F086EBE"/>
    <w:rsid w:val="6F0D2199"/>
    <w:rsid w:val="6F125A01"/>
    <w:rsid w:val="6F3C2F1C"/>
    <w:rsid w:val="6F3F6D4E"/>
    <w:rsid w:val="6F4831D1"/>
    <w:rsid w:val="6F4D07E7"/>
    <w:rsid w:val="6F543212"/>
    <w:rsid w:val="6F5F10A7"/>
    <w:rsid w:val="6F667618"/>
    <w:rsid w:val="6F6C5228"/>
    <w:rsid w:val="6F7E69B3"/>
    <w:rsid w:val="6F8A1A3C"/>
    <w:rsid w:val="6F8D1401"/>
    <w:rsid w:val="6F9A6059"/>
    <w:rsid w:val="6FA8400A"/>
    <w:rsid w:val="6FAC7C04"/>
    <w:rsid w:val="6FB62831"/>
    <w:rsid w:val="6FC26F97"/>
    <w:rsid w:val="6FE969A8"/>
    <w:rsid w:val="70262914"/>
    <w:rsid w:val="70476FB4"/>
    <w:rsid w:val="70531E2E"/>
    <w:rsid w:val="705810C3"/>
    <w:rsid w:val="705B0D47"/>
    <w:rsid w:val="70700C31"/>
    <w:rsid w:val="708A2616"/>
    <w:rsid w:val="708D0F72"/>
    <w:rsid w:val="70937D8D"/>
    <w:rsid w:val="70AF7F0C"/>
    <w:rsid w:val="70B44110"/>
    <w:rsid w:val="70E76A1A"/>
    <w:rsid w:val="71035C45"/>
    <w:rsid w:val="710870BC"/>
    <w:rsid w:val="711C2B67"/>
    <w:rsid w:val="712F5076"/>
    <w:rsid w:val="71434477"/>
    <w:rsid w:val="716772A9"/>
    <w:rsid w:val="71900E5F"/>
    <w:rsid w:val="71941F5C"/>
    <w:rsid w:val="71B27028"/>
    <w:rsid w:val="71BC3A02"/>
    <w:rsid w:val="71CE1011"/>
    <w:rsid w:val="71D14601"/>
    <w:rsid w:val="71F4319C"/>
    <w:rsid w:val="71F63387"/>
    <w:rsid w:val="7205184D"/>
    <w:rsid w:val="721831A2"/>
    <w:rsid w:val="722842FE"/>
    <w:rsid w:val="72345FDA"/>
    <w:rsid w:val="723B3782"/>
    <w:rsid w:val="725319FA"/>
    <w:rsid w:val="725E4E64"/>
    <w:rsid w:val="725F6FF5"/>
    <w:rsid w:val="7260580F"/>
    <w:rsid w:val="726C1985"/>
    <w:rsid w:val="72B1108D"/>
    <w:rsid w:val="72BC34AF"/>
    <w:rsid w:val="72DB562A"/>
    <w:rsid w:val="72DC5E87"/>
    <w:rsid w:val="72E42010"/>
    <w:rsid w:val="73007336"/>
    <w:rsid w:val="73042E7C"/>
    <w:rsid w:val="73104373"/>
    <w:rsid w:val="733F48EB"/>
    <w:rsid w:val="73570B03"/>
    <w:rsid w:val="73572B6B"/>
    <w:rsid w:val="73644352"/>
    <w:rsid w:val="73834058"/>
    <w:rsid w:val="738B412B"/>
    <w:rsid w:val="7395275D"/>
    <w:rsid w:val="73D47FF6"/>
    <w:rsid w:val="73D50144"/>
    <w:rsid w:val="73F7592A"/>
    <w:rsid w:val="7416389E"/>
    <w:rsid w:val="74237D69"/>
    <w:rsid w:val="7449069D"/>
    <w:rsid w:val="74626AE3"/>
    <w:rsid w:val="746565D3"/>
    <w:rsid w:val="74870157"/>
    <w:rsid w:val="7499002B"/>
    <w:rsid w:val="74AD6E15"/>
    <w:rsid w:val="74B135C7"/>
    <w:rsid w:val="74D475BC"/>
    <w:rsid w:val="74E03F88"/>
    <w:rsid w:val="752524E0"/>
    <w:rsid w:val="75352341"/>
    <w:rsid w:val="75502DDF"/>
    <w:rsid w:val="75672FAD"/>
    <w:rsid w:val="757139A8"/>
    <w:rsid w:val="757F403F"/>
    <w:rsid w:val="75844358"/>
    <w:rsid w:val="75952EE8"/>
    <w:rsid w:val="7599318E"/>
    <w:rsid w:val="75AB2ED7"/>
    <w:rsid w:val="75AB309B"/>
    <w:rsid w:val="75B620BE"/>
    <w:rsid w:val="75BA129A"/>
    <w:rsid w:val="76037E52"/>
    <w:rsid w:val="760F67F7"/>
    <w:rsid w:val="76165DD7"/>
    <w:rsid w:val="7620726A"/>
    <w:rsid w:val="762E1FAC"/>
    <w:rsid w:val="765C3624"/>
    <w:rsid w:val="76810114"/>
    <w:rsid w:val="7686160D"/>
    <w:rsid w:val="768B613F"/>
    <w:rsid w:val="76935D1A"/>
    <w:rsid w:val="76C6757D"/>
    <w:rsid w:val="76E823FD"/>
    <w:rsid w:val="76FA2174"/>
    <w:rsid w:val="77046592"/>
    <w:rsid w:val="77073972"/>
    <w:rsid w:val="770B0193"/>
    <w:rsid w:val="77125FDE"/>
    <w:rsid w:val="773432D5"/>
    <w:rsid w:val="77373F04"/>
    <w:rsid w:val="77405A7F"/>
    <w:rsid w:val="774D6123"/>
    <w:rsid w:val="7770113A"/>
    <w:rsid w:val="778012CE"/>
    <w:rsid w:val="77905715"/>
    <w:rsid w:val="77AD0E64"/>
    <w:rsid w:val="77D9530E"/>
    <w:rsid w:val="77E72E63"/>
    <w:rsid w:val="77F35CA4"/>
    <w:rsid w:val="77F739E6"/>
    <w:rsid w:val="7807040A"/>
    <w:rsid w:val="78080A9D"/>
    <w:rsid w:val="781C0719"/>
    <w:rsid w:val="782513D5"/>
    <w:rsid w:val="7875635D"/>
    <w:rsid w:val="78792B34"/>
    <w:rsid w:val="78882890"/>
    <w:rsid w:val="788B039C"/>
    <w:rsid w:val="788C2381"/>
    <w:rsid w:val="78B10039"/>
    <w:rsid w:val="78B537F0"/>
    <w:rsid w:val="78C7160B"/>
    <w:rsid w:val="78CA10FB"/>
    <w:rsid w:val="78D745B3"/>
    <w:rsid w:val="78DB6168"/>
    <w:rsid w:val="78F0289D"/>
    <w:rsid w:val="7904460D"/>
    <w:rsid w:val="79330A4E"/>
    <w:rsid w:val="79413850"/>
    <w:rsid w:val="794C7D62"/>
    <w:rsid w:val="795F5CE7"/>
    <w:rsid w:val="797A48CF"/>
    <w:rsid w:val="797B776E"/>
    <w:rsid w:val="79A803FE"/>
    <w:rsid w:val="79AC25AE"/>
    <w:rsid w:val="79B55907"/>
    <w:rsid w:val="79DC4B46"/>
    <w:rsid w:val="79FE2424"/>
    <w:rsid w:val="7A0702E3"/>
    <w:rsid w:val="7A0C439F"/>
    <w:rsid w:val="7A1E34AC"/>
    <w:rsid w:val="7A2B3E1B"/>
    <w:rsid w:val="7A2D1941"/>
    <w:rsid w:val="7A406307"/>
    <w:rsid w:val="7A432514"/>
    <w:rsid w:val="7A5458A8"/>
    <w:rsid w:val="7A6530E0"/>
    <w:rsid w:val="7A7E49AE"/>
    <w:rsid w:val="7A827D2E"/>
    <w:rsid w:val="7A902F4D"/>
    <w:rsid w:val="7A9A3AF1"/>
    <w:rsid w:val="7AA80806"/>
    <w:rsid w:val="7AC53928"/>
    <w:rsid w:val="7ACA7190"/>
    <w:rsid w:val="7ACE2A72"/>
    <w:rsid w:val="7AD47DE7"/>
    <w:rsid w:val="7ADD3367"/>
    <w:rsid w:val="7AFB3264"/>
    <w:rsid w:val="7B0B276E"/>
    <w:rsid w:val="7B1D2A74"/>
    <w:rsid w:val="7B2253B4"/>
    <w:rsid w:val="7B32428B"/>
    <w:rsid w:val="7B3E36DA"/>
    <w:rsid w:val="7B737E55"/>
    <w:rsid w:val="7B7D6304"/>
    <w:rsid w:val="7BA577C9"/>
    <w:rsid w:val="7BB70840"/>
    <w:rsid w:val="7BDB5B2A"/>
    <w:rsid w:val="7BFA1CF7"/>
    <w:rsid w:val="7BFE32E1"/>
    <w:rsid w:val="7C0B2CCB"/>
    <w:rsid w:val="7C10151B"/>
    <w:rsid w:val="7C144448"/>
    <w:rsid w:val="7C18217D"/>
    <w:rsid w:val="7C2E374F"/>
    <w:rsid w:val="7C35307A"/>
    <w:rsid w:val="7C4B227C"/>
    <w:rsid w:val="7C574A54"/>
    <w:rsid w:val="7C8B1F44"/>
    <w:rsid w:val="7C92616D"/>
    <w:rsid w:val="7C9B7036"/>
    <w:rsid w:val="7CAD4FBB"/>
    <w:rsid w:val="7CB24380"/>
    <w:rsid w:val="7CFD1A9F"/>
    <w:rsid w:val="7D0B09C7"/>
    <w:rsid w:val="7D10197B"/>
    <w:rsid w:val="7D1818A6"/>
    <w:rsid w:val="7D234014"/>
    <w:rsid w:val="7D254B52"/>
    <w:rsid w:val="7D264E72"/>
    <w:rsid w:val="7D3134F6"/>
    <w:rsid w:val="7D365A74"/>
    <w:rsid w:val="7D395B17"/>
    <w:rsid w:val="7D420743"/>
    <w:rsid w:val="7D5E7F51"/>
    <w:rsid w:val="7D6C607B"/>
    <w:rsid w:val="7D720D8E"/>
    <w:rsid w:val="7D761851"/>
    <w:rsid w:val="7D7A2CF5"/>
    <w:rsid w:val="7D7D04EA"/>
    <w:rsid w:val="7D8E6B9B"/>
    <w:rsid w:val="7D9E2788"/>
    <w:rsid w:val="7DA168CE"/>
    <w:rsid w:val="7DAE703F"/>
    <w:rsid w:val="7DB3428E"/>
    <w:rsid w:val="7DCA74A7"/>
    <w:rsid w:val="7DD52299"/>
    <w:rsid w:val="7DDF46DB"/>
    <w:rsid w:val="7E0471DB"/>
    <w:rsid w:val="7E4B05E8"/>
    <w:rsid w:val="7E4F3588"/>
    <w:rsid w:val="7E5D031B"/>
    <w:rsid w:val="7E5D0EDC"/>
    <w:rsid w:val="7E6B2A38"/>
    <w:rsid w:val="7E851D4C"/>
    <w:rsid w:val="7E9462D1"/>
    <w:rsid w:val="7EB70C8D"/>
    <w:rsid w:val="7ED716A9"/>
    <w:rsid w:val="7EF95DA4"/>
    <w:rsid w:val="7F511F71"/>
    <w:rsid w:val="7F651B7D"/>
    <w:rsid w:val="7F78365F"/>
    <w:rsid w:val="7F7922EE"/>
    <w:rsid w:val="7F893B49"/>
    <w:rsid w:val="7FA166DE"/>
    <w:rsid w:val="7FC81F68"/>
    <w:rsid w:val="7FCC5758"/>
    <w:rsid w:val="7FE26D2A"/>
    <w:rsid w:val="7FE65FC0"/>
    <w:rsid w:val="7FFD3B64"/>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ocked="1"/>
    <w:lsdException w:qFormat="1" w:unhideWhenUsed="0" w:uiPriority="99" w:semiHidden="0" w:name="heading 3"/>
    <w:lsdException w:qFormat="1" w:unhideWhenUsed="0" w:uiPriority="99" w:semiHidden="0" w:name="heading 4"/>
    <w:lsdException w:qFormat="1" w:uiPriority="0" w:name="heading 5" w:locked="1"/>
    <w:lsdException w:qFormat="1" w:unhideWhenUsed="0" w:uiPriority="1" w:semiHidden="0" w:name="heading 6" w:locked="1"/>
    <w:lsdException w:qFormat="1" w:unhideWhenUsed="0" w:uiPriority="1" w:semiHidden="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0" w:name="toc 1" w:locked="1"/>
    <w:lsdException w:uiPriority="0" w:name="toc 2" w:locked="1"/>
    <w:lsdException w:uiPriority="0" w:name="toc 3" w:locked="1"/>
    <w:lsdException w:uiPriority="0" w:name="toc 4" w:locked="1"/>
    <w:lsdException w:uiPriority="0" w:name="toc 5" w:locked="1"/>
    <w:lsdException w:uiPriority="0" w:name="toc 6" w:locked="1"/>
    <w:lsdException w:uiPriority="0" w:name="toc 7" w:locked="1"/>
    <w:lsdException w:uiPriority="0" w:name="toc 8" w:locked="1"/>
    <w:lsdException w:uiPriority="0" w:name="toc 9" w:locked="1"/>
    <w:lsdException w:uiPriority="99"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1" w:semiHidden="0" w:name="Body Text"/>
    <w:lsdException w:qFormat="1" w:unhideWhenUsed="0"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name="FollowedHyperlink"/>
    <w:lsdException w:qFormat="1" w:unhideWhenUsed="0" w:uiPriority="99" w:semiHidden="0" w:name="Strong"/>
    <w:lsdException w:qFormat="1" w:unhideWhenUsed="0" w:uiPriority="99"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nhideWhenUsed="0" w:uiPriority="99" w:semiHidden="0" w:name="Table Web 2"/>
    <w:lsdException w:unhideWhenUsed="0" w:uiPriority="99" w:semiHidden="0" w:name="Table Web 3"/>
    <w:lsdException w:qFormat="1" w:unhideWhenUsed="0" w:uiPriority="99" w:name="Balloon Text"/>
    <w:lsdException w:qFormat="1" w:unhideWhenUsed="0" w:uiPriority="39" w:semiHidden="0" w:name="Table Grid"/>
    <w:lsdException w:unhideWhenUsed="0" w:uiPriority="99"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等线" w:hAnsi="等线" w:eastAsia="等线" w:cs="Times New Roman"/>
      <w:kern w:val="2"/>
      <w:sz w:val="21"/>
      <w:szCs w:val="22"/>
      <w:lang w:val="en-US" w:eastAsia="zh-CN" w:bidi="ar-SA"/>
    </w:rPr>
  </w:style>
  <w:style w:type="paragraph" w:styleId="4">
    <w:name w:val="heading 1"/>
    <w:basedOn w:val="1"/>
    <w:next w:val="1"/>
    <w:link w:val="28"/>
    <w:qFormat/>
    <w:uiPriority w:val="0"/>
    <w:pPr>
      <w:keepNext/>
      <w:keepLines/>
      <w:numPr>
        <w:ilvl w:val="0"/>
        <w:numId w:val="1"/>
      </w:numPr>
      <w:spacing w:line="500" w:lineRule="exact"/>
      <w:jc w:val="center"/>
      <w:outlineLvl w:val="0"/>
    </w:pPr>
    <w:rPr>
      <w:rFonts w:ascii="黑体" w:hAnsi="黑体" w:eastAsia="黑体"/>
      <w:b/>
      <w:bCs/>
      <w:color w:val="000000"/>
      <w:kern w:val="44"/>
      <w:sz w:val="32"/>
      <w:szCs w:val="44"/>
    </w:rPr>
  </w:style>
  <w:style w:type="paragraph" w:styleId="5">
    <w:name w:val="heading 2"/>
    <w:basedOn w:val="1"/>
    <w:next w:val="1"/>
    <w:link w:val="130"/>
    <w:qFormat/>
    <w:locked/>
    <w:uiPriority w:val="0"/>
    <w:pPr>
      <w:keepNext/>
      <w:keepLines/>
      <w:widowControl/>
      <w:spacing w:before="260" w:after="260" w:line="416" w:lineRule="auto"/>
      <w:outlineLvl w:val="1"/>
    </w:pPr>
    <w:rPr>
      <w:rFonts w:ascii="Arial" w:hAnsi="Arial" w:eastAsia="黑体"/>
      <w:b/>
      <w:bCs/>
      <w:sz w:val="32"/>
      <w:szCs w:val="32"/>
    </w:rPr>
  </w:style>
  <w:style w:type="paragraph" w:styleId="6">
    <w:name w:val="heading 3"/>
    <w:basedOn w:val="1"/>
    <w:next w:val="1"/>
    <w:link w:val="29"/>
    <w:qFormat/>
    <w:uiPriority w:val="99"/>
    <w:pPr>
      <w:spacing w:beforeAutospacing="1" w:afterAutospacing="1"/>
      <w:jc w:val="left"/>
      <w:outlineLvl w:val="2"/>
    </w:pPr>
    <w:rPr>
      <w:rFonts w:ascii="宋体" w:hAnsi="宋体" w:eastAsia="宋体"/>
      <w:b/>
      <w:bCs/>
      <w:kern w:val="0"/>
      <w:sz w:val="27"/>
      <w:szCs w:val="27"/>
    </w:rPr>
  </w:style>
  <w:style w:type="paragraph" w:styleId="7">
    <w:name w:val="heading 4"/>
    <w:basedOn w:val="1"/>
    <w:next w:val="1"/>
    <w:link w:val="141"/>
    <w:qFormat/>
    <w:uiPriority w:val="99"/>
    <w:pPr>
      <w:spacing w:beforeAutospacing="1" w:afterAutospacing="1"/>
      <w:jc w:val="left"/>
      <w:outlineLvl w:val="3"/>
    </w:pPr>
    <w:rPr>
      <w:rFonts w:ascii="宋体" w:hAnsi="宋体" w:eastAsia="宋体"/>
      <w:b/>
      <w:bCs/>
      <w:kern w:val="0"/>
      <w:sz w:val="24"/>
      <w:szCs w:val="24"/>
    </w:rPr>
  </w:style>
  <w:style w:type="paragraph" w:styleId="8">
    <w:name w:val="heading 6"/>
    <w:basedOn w:val="1"/>
    <w:next w:val="1"/>
    <w:link w:val="131"/>
    <w:qFormat/>
    <w:locked/>
    <w:uiPriority w:val="1"/>
    <w:pPr>
      <w:widowControl/>
      <w:ind w:left="40"/>
      <w:outlineLvl w:val="5"/>
    </w:pPr>
    <w:rPr>
      <w:rFonts w:ascii="宋体" w:hAnsi="宋体" w:eastAsia="宋体" w:cs="宋体"/>
      <w:szCs w:val="21"/>
    </w:rPr>
  </w:style>
  <w:style w:type="paragraph" w:styleId="9">
    <w:name w:val="heading 7"/>
    <w:basedOn w:val="1"/>
    <w:next w:val="1"/>
    <w:link w:val="132"/>
    <w:qFormat/>
    <w:locked/>
    <w:uiPriority w:val="1"/>
    <w:pPr>
      <w:widowControl/>
      <w:outlineLvl w:val="6"/>
    </w:pPr>
    <w:rPr>
      <w:rFonts w:ascii="宋体" w:hAnsi="宋体" w:eastAsia="宋体" w:cs="宋体"/>
      <w:sz w:val="20"/>
      <w:szCs w:val="20"/>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semiHidden/>
    <w:qFormat/>
    <w:uiPriority w:val="99"/>
    <w:pPr>
      <w:ind w:firstLine="420" w:firstLineChars="200"/>
    </w:pPr>
  </w:style>
  <w:style w:type="paragraph" w:styleId="3">
    <w:name w:val="Body Text Indent"/>
    <w:basedOn w:val="1"/>
    <w:semiHidden/>
    <w:qFormat/>
    <w:uiPriority w:val="99"/>
    <w:pPr>
      <w:ind w:left="420" w:leftChars="200"/>
    </w:pPr>
  </w:style>
  <w:style w:type="paragraph" w:styleId="10">
    <w:name w:val="annotation text"/>
    <w:basedOn w:val="1"/>
    <w:link w:val="31"/>
    <w:qFormat/>
    <w:uiPriority w:val="99"/>
    <w:pPr>
      <w:jc w:val="left"/>
    </w:pPr>
  </w:style>
  <w:style w:type="paragraph" w:styleId="11">
    <w:name w:val="Body Text"/>
    <w:basedOn w:val="1"/>
    <w:link w:val="129"/>
    <w:unhideWhenUsed/>
    <w:qFormat/>
    <w:uiPriority w:val="1"/>
    <w:pPr>
      <w:spacing w:after="120"/>
    </w:pPr>
  </w:style>
  <w:style w:type="paragraph" w:styleId="12">
    <w:name w:val="Plain Text"/>
    <w:basedOn w:val="1"/>
    <w:link w:val="119"/>
    <w:qFormat/>
    <w:uiPriority w:val="0"/>
    <w:rPr>
      <w:rFonts w:ascii="宋体" w:hAnsi="Courier New" w:cs="Courier New" w:eastAsiaTheme="minorEastAsia"/>
      <w:szCs w:val="21"/>
    </w:rPr>
  </w:style>
  <w:style w:type="paragraph" w:styleId="13">
    <w:name w:val="Balloon Text"/>
    <w:basedOn w:val="1"/>
    <w:link w:val="32"/>
    <w:semiHidden/>
    <w:qFormat/>
    <w:uiPriority w:val="99"/>
    <w:rPr>
      <w:sz w:val="18"/>
      <w:szCs w:val="18"/>
    </w:rPr>
  </w:style>
  <w:style w:type="paragraph" w:styleId="14">
    <w:name w:val="footer"/>
    <w:basedOn w:val="1"/>
    <w:link w:val="33"/>
    <w:qFormat/>
    <w:uiPriority w:val="99"/>
    <w:pPr>
      <w:tabs>
        <w:tab w:val="center" w:pos="4153"/>
        <w:tab w:val="right" w:pos="8306"/>
      </w:tabs>
      <w:snapToGrid w:val="0"/>
      <w:jc w:val="left"/>
    </w:pPr>
    <w:rPr>
      <w:sz w:val="18"/>
      <w:szCs w:val="18"/>
    </w:rPr>
  </w:style>
  <w:style w:type="paragraph" w:styleId="15">
    <w:name w:val="header"/>
    <w:basedOn w:val="1"/>
    <w:link w:val="34"/>
    <w:qFormat/>
    <w:uiPriority w:val="99"/>
    <w:pPr>
      <w:pBdr>
        <w:bottom w:val="single" w:color="auto" w:sz="6" w:space="1"/>
      </w:pBdr>
      <w:tabs>
        <w:tab w:val="center" w:pos="4153"/>
        <w:tab w:val="right" w:pos="8306"/>
      </w:tabs>
      <w:snapToGrid w:val="0"/>
      <w:jc w:val="center"/>
    </w:pPr>
    <w:rPr>
      <w:sz w:val="18"/>
      <w:szCs w:val="18"/>
    </w:rPr>
  </w:style>
  <w:style w:type="paragraph" w:styleId="16">
    <w:name w:val="Body Text Indent 3"/>
    <w:basedOn w:val="1"/>
    <w:link w:val="133"/>
    <w:qFormat/>
    <w:uiPriority w:val="0"/>
    <w:pPr>
      <w:widowControl/>
      <w:ind w:left="840" w:hanging="210"/>
    </w:pPr>
    <w:rPr>
      <w:rFonts w:ascii="宋体" w:hAnsi="Times New Roman" w:eastAsia="宋体"/>
      <w:spacing w:val="20"/>
      <w:szCs w:val="20"/>
    </w:rPr>
  </w:style>
  <w:style w:type="paragraph" w:styleId="1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paragraph" w:styleId="18">
    <w:name w:val="Title"/>
    <w:basedOn w:val="1"/>
    <w:next w:val="1"/>
    <w:link w:val="35"/>
    <w:qFormat/>
    <w:uiPriority w:val="10"/>
    <w:pPr>
      <w:spacing w:before="240" w:after="60"/>
      <w:jc w:val="center"/>
      <w:outlineLvl w:val="0"/>
    </w:pPr>
    <w:rPr>
      <w:rFonts w:ascii="等线 Light" w:hAnsi="等线 Light" w:eastAsia="等线 Light"/>
      <w:b/>
      <w:bCs/>
      <w:sz w:val="32"/>
      <w:szCs w:val="32"/>
    </w:rPr>
  </w:style>
  <w:style w:type="paragraph" w:styleId="19">
    <w:name w:val="annotation subject"/>
    <w:basedOn w:val="10"/>
    <w:next w:val="10"/>
    <w:link w:val="139"/>
    <w:semiHidden/>
    <w:unhideWhenUsed/>
    <w:qFormat/>
    <w:uiPriority w:val="99"/>
    <w:pPr>
      <w:widowControl/>
    </w:pPr>
    <w:rPr>
      <w:rFonts w:ascii="Times New Roman" w:hAnsi="Times New Roman" w:eastAsia="宋体"/>
      <w:b/>
      <w:bCs/>
      <w:szCs w:val="20"/>
    </w:rPr>
  </w:style>
  <w:style w:type="table" w:styleId="21">
    <w:name w:val="Table Grid"/>
    <w:basedOn w:val="2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basedOn w:val="22"/>
    <w:qFormat/>
    <w:uiPriority w:val="99"/>
    <w:rPr>
      <w:rFonts w:cs="Times New Roman"/>
      <w:b/>
    </w:rPr>
  </w:style>
  <w:style w:type="character" w:styleId="24">
    <w:name w:val="FollowedHyperlink"/>
    <w:basedOn w:val="22"/>
    <w:semiHidden/>
    <w:qFormat/>
    <w:uiPriority w:val="99"/>
    <w:rPr>
      <w:rFonts w:cs="Times New Roman"/>
      <w:color w:val="800080"/>
      <w:u w:val="single"/>
    </w:rPr>
  </w:style>
  <w:style w:type="character" w:styleId="25">
    <w:name w:val="Emphasis"/>
    <w:basedOn w:val="22"/>
    <w:qFormat/>
    <w:uiPriority w:val="99"/>
    <w:rPr>
      <w:rFonts w:cs="Times New Roman"/>
      <w:color w:val="CC0000"/>
    </w:rPr>
  </w:style>
  <w:style w:type="character" w:styleId="26">
    <w:name w:val="Hyperlink"/>
    <w:basedOn w:val="22"/>
    <w:qFormat/>
    <w:uiPriority w:val="99"/>
    <w:rPr>
      <w:rFonts w:cs="Times New Roman"/>
      <w:color w:val="0000FF"/>
      <w:u w:val="single"/>
    </w:rPr>
  </w:style>
  <w:style w:type="character" w:styleId="27">
    <w:name w:val="annotation reference"/>
    <w:basedOn w:val="22"/>
    <w:qFormat/>
    <w:uiPriority w:val="99"/>
    <w:rPr>
      <w:sz w:val="21"/>
      <w:szCs w:val="21"/>
    </w:rPr>
  </w:style>
  <w:style w:type="character" w:customStyle="1" w:styleId="28">
    <w:name w:val="标题 1 字符"/>
    <w:basedOn w:val="22"/>
    <w:link w:val="4"/>
    <w:qFormat/>
    <w:uiPriority w:val="9"/>
    <w:rPr>
      <w:rFonts w:ascii="等线" w:hAnsi="等线" w:eastAsia="等线"/>
      <w:b/>
      <w:bCs/>
      <w:kern w:val="44"/>
      <w:sz w:val="44"/>
      <w:szCs w:val="44"/>
    </w:rPr>
  </w:style>
  <w:style w:type="character" w:customStyle="1" w:styleId="29">
    <w:name w:val="标题 3 字符"/>
    <w:basedOn w:val="22"/>
    <w:link w:val="6"/>
    <w:semiHidden/>
    <w:qFormat/>
    <w:uiPriority w:val="9"/>
    <w:rPr>
      <w:rFonts w:ascii="等线" w:hAnsi="等线" w:eastAsia="等线"/>
      <w:b/>
      <w:bCs/>
      <w:sz w:val="32"/>
      <w:szCs w:val="32"/>
    </w:rPr>
  </w:style>
  <w:style w:type="character" w:customStyle="1" w:styleId="30">
    <w:name w:val="标题 4 字符"/>
    <w:basedOn w:val="22"/>
    <w:semiHidden/>
    <w:qFormat/>
    <w:uiPriority w:val="9"/>
    <w:rPr>
      <w:rFonts w:ascii="Cambria" w:hAnsi="Cambria" w:eastAsia="宋体" w:cs="Times New Roman"/>
      <w:b/>
      <w:bCs/>
      <w:sz w:val="28"/>
      <w:szCs w:val="28"/>
    </w:rPr>
  </w:style>
  <w:style w:type="character" w:customStyle="1" w:styleId="31">
    <w:name w:val="批注文字 字符"/>
    <w:basedOn w:val="22"/>
    <w:link w:val="10"/>
    <w:qFormat/>
    <w:uiPriority w:val="99"/>
    <w:rPr>
      <w:rFonts w:ascii="等线" w:hAnsi="等线" w:eastAsia="等线"/>
    </w:rPr>
  </w:style>
  <w:style w:type="character" w:customStyle="1" w:styleId="32">
    <w:name w:val="批注框文本 字符"/>
    <w:basedOn w:val="22"/>
    <w:link w:val="13"/>
    <w:semiHidden/>
    <w:qFormat/>
    <w:locked/>
    <w:uiPriority w:val="99"/>
    <w:rPr>
      <w:rFonts w:cs="Times New Roman"/>
      <w:sz w:val="18"/>
      <w:szCs w:val="18"/>
    </w:rPr>
  </w:style>
  <w:style w:type="character" w:customStyle="1" w:styleId="33">
    <w:name w:val="页脚 字符"/>
    <w:basedOn w:val="22"/>
    <w:link w:val="14"/>
    <w:qFormat/>
    <w:locked/>
    <w:uiPriority w:val="99"/>
    <w:rPr>
      <w:rFonts w:cs="Times New Roman"/>
      <w:sz w:val="18"/>
      <w:szCs w:val="18"/>
    </w:rPr>
  </w:style>
  <w:style w:type="character" w:customStyle="1" w:styleId="34">
    <w:name w:val="页眉 字符"/>
    <w:basedOn w:val="22"/>
    <w:link w:val="15"/>
    <w:qFormat/>
    <w:locked/>
    <w:uiPriority w:val="99"/>
    <w:rPr>
      <w:rFonts w:cs="Times New Roman"/>
      <w:sz w:val="18"/>
      <w:szCs w:val="18"/>
    </w:rPr>
  </w:style>
  <w:style w:type="character" w:customStyle="1" w:styleId="35">
    <w:name w:val="标题 字符"/>
    <w:basedOn w:val="22"/>
    <w:link w:val="18"/>
    <w:qFormat/>
    <w:locked/>
    <w:uiPriority w:val="10"/>
    <w:rPr>
      <w:rFonts w:ascii="等线 Light" w:hAnsi="等线 Light" w:eastAsia="等线 Light" w:cs="Times New Roman"/>
      <w:b/>
      <w:bCs/>
      <w:sz w:val="32"/>
      <w:szCs w:val="32"/>
    </w:rPr>
  </w:style>
  <w:style w:type="paragraph" w:customStyle="1" w:styleId="36">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37">
    <w:name w:val="font5"/>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38">
    <w:name w:val="font6"/>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39">
    <w:name w:val="font7"/>
    <w:basedOn w:val="1"/>
    <w:qFormat/>
    <w:uiPriority w:val="0"/>
    <w:pPr>
      <w:widowControl/>
      <w:spacing w:before="100" w:beforeAutospacing="1" w:after="100" w:afterAutospacing="1"/>
      <w:jc w:val="left"/>
    </w:pPr>
    <w:rPr>
      <w:rFonts w:ascii="宋体" w:hAnsi="宋体" w:eastAsia="宋体" w:cs="宋体"/>
      <w:color w:val="FF0000"/>
      <w:kern w:val="0"/>
      <w:sz w:val="18"/>
      <w:szCs w:val="18"/>
    </w:rPr>
  </w:style>
  <w:style w:type="paragraph" w:customStyle="1" w:styleId="40">
    <w:name w:val="font8"/>
    <w:basedOn w:val="1"/>
    <w:qFormat/>
    <w:uiPriority w:val="0"/>
    <w:pPr>
      <w:widowControl/>
      <w:spacing w:before="100" w:beforeAutospacing="1" w:after="100" w:afterAutospacing="1"/>
      <w:jc w:val="left"/>
    </w:pPr>
    <w:rPr>
      <w:rFonts w:ascii="宋体" w:hAnsi="宋体" w:eastAsia="宋体" w:cs="宋体"/>
      <w:color w:val="000000"/>
      <w:kern w:val="0"/>
      <w:sz w:val="18"/>
      <w:szCs w:val="18"/>
    </w:rPr>
  </w:style>
  <w:style w:type="paragraph" w:customStyle="1" w:styleId="41">
    <w:name w:val="font9"/>
    <w:basedOn w:val="1"/>
    <w:qFormat/>
    <w:uiPriority w:val="0"/>
    <w:pPr>
      <w:widowControl/>
      <w:spacing w:before="100" w:beforeAutospacing="1" w:after="100" w:afterAutospacing="1"/>
      <w:jc w:val="left"/>
    </w:pPr>
    <w:rPr>
      <w:rFonts w:ascii="宋体" w:hAnsi="宋体" w:eastAsia="宋体" w:cs="宋体"/>
      <w:color w:val="000000"/>
      <w:kern w:val="0"/>
      <w:sz w:val="18"/>
      <w:szCs w:val="18"/>
    </w:rPr>
  </w:style>
  <w:style w:type="paragraph" w:customStyle="1" w:styleId="42">
    <w:name w:val="font10"/>
    <w:basedOn w:val="1"/>
    <w:qFormat/>
    <w:uiPriority w:val="0"/>
    <w:pPr>
      <w:widowControl/>
      <w:spacing w:before="100" w:beforeAutospacing="1" w:after="100" w:afterAutospacing="1"/>
      <w:jc w:val="left"/>
    </w:pPr>
    <w:rPr>
      <w:rFonts w:ascii="Times New Roman" w:hAnsi="Times New Roman" w:eastAsia="宋体"/>
      <w:color w:val="000000"/>
      <w:kern w:val="0"/>
      <w:sz w:val="18"/>
      <w:szCs w:val="18"/>
    </w:rPr>
  </w:style>
  <w:style w:type="paragraph" w:customStyle="1" w:styleId="43">
    <w:name w:val="font11"/>
    <w:basedOn w:val="1"/>
    <w:qFormat/>
    <w:uiPriority w:val="0"/>
    <w:pPr>
      <w:widowControl/>
      <w:spacing w:before="100" w:beforeAutospacing="1" w:after="100" w:afterAutospacing="1"/>
      <w:jc w:val="left"/>
    </w:pPr>
    <w:rPr>
      <w:rFonts w:ascii="宋体" w:hAnsi="宋体" w:eastAsia="宋体" w:cs="宋体"/>
      <w:b/>
      <w:bCs/>
      <w:color w:val="FF0000"/>
      <w:kern w:val="0"/>
      <w:sz w:val="22"/>
    </w:rPr>
  </w:style>
  <w:style w:type="paragraph" w:customStyle="1" w:styleId="44">
    <w:name w:val="font12"/>
    <w:basedOn w:val="1"/>
    <w:qFormat/>
    <w:uiPriority w:val="0"/>
    <w:pPr>
      <w:widowControl/>
      <w:spacing w:before="100" w:beforeAutospacing="1" w:after="100" w:afterAutospacing="1"/>
      <w:jc w:val="left"/>
    </w:pPr>
    <w:rPr>
      <w:rFonts w:ascii="宋体" w:hAnsi="宋体" w:eastAsia="宋体" w:cs="宋体"/>
      <w:b/>
      <w:bCs/>
      <w:kern w:val="0"/>
      <w:sz w:val="18"/>
      <w:szCs w:val="18"/>
    </w:rPr>
  </w:style>
  <w:style w:type="paragraph" w:customStyle="1" w:styleId="45">
    <w:name w:val="font13"/>
    <w:basedOn w:val="1"/>
    <w:qFormat/>
    <w:uiPriority w:val="0"/>
    <w:pPr>
      <w:widowControl/>
      <w:spacing w:before="100" w:beforeAutospacing="1" w:after="100" w:afterAutospacing="1"/>
      <w:jc w:val="left"/>
    </w:pPr>
    <w:rPr>
      <w:rFonts w:ascii="宋体" w:hAnsi="宋体" w:eastAsia="宋体" w:cs="宋体"/>
      <w:color w:val="333333"/>
      <w:kern w:val="0"/>
      <w:sz w:val="18"/>
      <w:szCs w:val="18"/>
    </w:rPr>
  </w:style>
  <w:style w:type="paragraph" w:customStyle="1" w:styleId="46">
    <w:name w:val="font14"/>
    <w:basedOn w:val="1"/>
    <w:qFormat/>
    <w:uiPriority w:val="0"/>
    <w:pPr>
      <w:widowControl/>
      <w:spacing w:before="100" w:beforeAutospacing="1" w:after="100" w:afterAutospacing="1"/>
      <w:jc w:val="left"/>
    </w:pPr>
    <w:rPr>
      <w:rFonts w:ascii="宋体" w:hAnsi="宋体" w:eastAsia="宋体" w:cs="宋体"/>
      <w:color w:val="000000"/>
      <w:kern w:val="0"/>
      <w:sz w:val="18"/>
      <w:szCs w:val="18"/>
    </w:rPr>
  </w:style>
  <w:style w:type="paragraph" w:customStyle="1" w:styleId="47">
    <w:name w:val="font15"/>
    <w:basedOn w:val="1"/>
    <w:qFormat/>
    <w:uiPriority w:val="0"/>
    <w:pPr>
      <w:widowControl/>
      <w:spacing w:before="100" w:beforeAutospacing="1" w:after="100" w:afterAutospacing="1"/>
      <w:jc w:val="left"/>
    </w:pPr>
    <w:rPr>
      <w:rFonts w:ascii="宋体" w:hAnsi="宋体" w:eastAsia="宋体" w:cs="宋体"/>
      <w:color w:val="000000"/>
      <w:kern w:val="0"/>
      <w:sz w:val="18"/>
      <w:szCs w:val="18"/>
    </w:rPr>
  </w:style>
  <w:style w:type="paragraph" w:customStyle="1" w:styleId="48">
    <w:name w:val="font16"/>
    <w:basedOn w:val="1"/>
    <w:qFormat/>
    <w:uiPriority w:val="0"/>
    <w:pPr>
      <w:widowControl/>
      <w:spacing w:before="100" w:beforeAutospacing="1" w:after="100" w:afterAutospacing="1"/>
      <w:jc w:val="left"/>
    </w:pPr>
    <w:rPr>
      <w:rFonts w:ascii="宋体" w:hAnsi="宋体" w:eastAsia="宋体" w:cs="宋体"/>
      <w:b/>
      <w:bCs/>
      <w:color w:val="000000"/>
      <w:kern w:val="0"/>
      <w:sz w:val="18"/>
      <w:szCs w:val="18"/>
    </w:rPr>
  </w:style>
  <w:style w:type="paragraph" w:customStyle="1" w:styleId="49">
    <w:name w:val="font17"/>
    <w:basedOn w:val="1"/>
    <w:qFormat/>
    <w:uiPriority w:val="0"/>
    <w:pPr>
      <w:widowControl/>
      <w:spacing w:before="100" w:beforeAutospacing="1" w:after="100" w:afterAutospacing="1"/>
      <w:jc w:val="left"/>
    </w:pPr>
    <w:rPr>
      <w:rFonts w:ascii="宋体" w:hAnsi="宋体" w:eastAsia="宋体" w:cs="宋体"/>
      <w:color w:val="333333"/>
      <w:kern w:val="0"/>
      <w:sz w:val="18"/>
      <w:szCs w:val="18"/>
    </w:rPr>
  </w:style>
  <w:style w:type="paragraph" w:customStyle="1" w:styleId="50">
    <w:name w:val="font18"/>
    <w:basedOn w:val="1"/>
    <w:qFormat/>
    <w:uiPriority w:val="0"/>
    <w:pPr>
      <w:widowControl/>
      <w:spacing w:before="100" w:beforeAutospacing="1" w:after="100" w:afterAutospacing="1"/>
      <w:jc w:val="left"/>
    </w:pPr>
    <w:rPr>
      <w:rFonts w:ascii="宋体" w:hAnsi="宋体" w:eastAsia="宋体" w:cs="宋体"/>
      <w:color w:val="00B050"/>
      <w:kern w:val="0"/>
      <w:sz w:val="18"/>
      <w:szCs w:val="18"/>
    </w:rPr>
  </w:style>
  <w:style w:type="paragraph" w:customStyle="1" w:styleId="51">
    <w:name w:val="font19"/>
    <w:basedOn w:val="1"/>
    <w:qFormat/>
    <w:uiPriority w:val="0"/>
    <w:pPr>
      <w:widowControl/>
      <w:spacing w:before="100" w:beforeAutospacing="1" w:after="100" w:afterAutospacing="1"/>
      <w:jc w:val="left"/>
    </w:pPr>
    <w:rPr>
      <w:rFonts w:ascii="Times New Roman" w:hAnsi="Times New Roman" w:eastAsia="宋体"/>
      <w:color w:val="333333"/>
      <w:kern w:val="0"/>
      <w:sz w:val="18"/>
      <w:szCs w:val="18"/>
    </w:rPr>
  </w:style>
  <w:style w:type="paragraph" w:customStyle="1" w:styleId="52">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color w:val="FF0000"/>
      <w:kern w:val="0"/>
      <w:sz w:val="18"/>
      <w:szCs w:val="18"/>
    </w:rPr>
  </w:style>
  <w:style w:type="paragraph" w:customStyle="1" w:styleId="53">
    <w:name w:val="xl67"/>
    <w:basedOn w:val="1"/>
    <w:qFormat/>
    <w:uiPriority w:val="0"/>
    <w:pPr>
      <w:widowControl/>
      <w:spacing w:before="100" w:beforeAutospacing="1" w:after="100" w:afterAutospacing="1"/>
      <w:jc w:val="center"/>
    </w:pPr>
    <w:rPr>
      <w:rFonts w:ascii="宋体" w:hAnsi="宋体" w:eastAsia="宋体" w:cs="宋体"/>
      <w:kern w:val="0"/>
      <w:sz w:val="24"/>
      <w:szCs w:val="24"/>
    </w:rPr>
  </w:style>
  <w:style w:type="paragraph" w:customStyle="1" w:styleId="54">
    <w:name w:val="xl68"/>
    <w:basedOn w:val="1"/>
    <w:qFormat/>
    <w:uiPriority w:val="0"/>
    <w:pPr>
      <w:widowControl/>
      <w:spacing w:before="100" w:beforeAutospacing="1" w:after="100" w:afterAutospacing="1"/>
      <w:jc w:val="left"/>
    </w:pPr>
    <w:rPr>
      <w:rFonts w:ascii="宋体" w:hAnsi="宋体" w:eastAsia="宋体" w:cs="宋体"/>
      <w:b/>
      <w:bCs/>
      <w:kern w:val="0"/>
      <w:sz w:val="24"/>
      <w:szCs w:val="24"/>
    </w:rPr>
  </w:style>
  <w:style w:type="paragraph" w:customStyle="1" w:styleId="55">
    <w:name w:val="xl6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eastAsia="宋体" w:cs="宋体"/>
      <w:b/>
      <w:bCs/>
      <w:kern w:val="0"/>
      <w:sz w:val="24"/>
      <w:szCs w:val="24"/>
    </w:rPr>
  </w:style>
  <w:style w:type="paragraph" w:customStyle="1" w:styleId="56">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18"/>
      <w:szCs w:val="18"/>
    </w:rPr>
  </w:style>
  <w:style w:type="paragraph" w:customStyle="1" w:styleId="57">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24"/>
      <w:szCs w:val="24"/>
    </w:rPr>
  </w:style>
  <w:style w:type="paragraph" w:customStyle="1" w:styleId="58">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24"/>
      <w:szCs w:val="24"/>
    </w:rPr>
  </w:style>
  <w:style w:type="paragraph" w:customStyle="1" w:styleId="59">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b/>
      <w:bCs/>
      <w:color w:val="FF0000"/>
      <w:kern w:val="0"/>
      <w:sz w:val="18"/>
      <w:szCs w:val="18"/>
    </w:rPr>
  </w:style>
  <w:style w:type="paragraph" w:customStyle="1" w:styleId="60">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18"/>
      <w:szCs w:val="18"/>
    </w:rPr>
  </w:style>
  <w:style w:type="paragraph" w:customStyle="1" w:styleId="61">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24"/>
      <w:szCs w:val="24"/>
    </w:rPr>
  </w:style>
  <w:style w:type="paragraph" w:customStyle="1" w:styleId="62">
    <w:name w:val="xl7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eastAsia="宋体" w:cs="宋体"/>
      <w:b/>
      <w:bCs/>
      <w:kern w:val="0"/>
      <w:sz w:val="24"/>
      <w:szCs w:val="24"/>
    </w:rPr>
  </w:style>
  <w:style w:type="paragraph" w:customStyle="1" w:styleId="63">
    <w:name w:val="xl7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eastAsia="宋体" w:cs="宋体"/>
      <w:kern w:val="0"/>
      <w:sz w:val="18"/>
      <w:szCs w:val="18"/>
    </w:rPr>
  </w:style>
  <w:style w:type="paragraph" w:customStyle="1" w:styleId="64">
    <w:name w:val="xl7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eastAsia="宋体" w:cs="宋体"/>
      <w:b/>
      <w:bCs/>
      <w:color w:val="333333"/>
      <w:kern w:val="0"/>
      <w:sz w:val="24"/>
      <w:szCs w:val="24"/>
    </w:rPr>
  </w:style>
  <w:style w:type="paragraph" w:customStyle="1" w:styleId="65">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18"/>
      <w:szCs w:val="18"/>
    </w:rPr>
  </w:style>
  <w:style w:type="paragraph" w:customStyle="1" w:styleId="66">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18"/>
      <w:szCs w:val="18"/>
    </w:rPr>
  </w:style>
  <w:style w:type="paragraph" w:customStyle="1" w:styleId="67">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18"/>
      <w:szCs w:val="18"/>
    </w:rPr>
  </w:style>
  <w:style w:type="paragraph" w:customStyle="1" w:styleId="68">
    <w:name w:val="xl8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eastAsia="宋体" w:cs="宋体"/>
      <w:kern w:val="0"/>
      <w:sz w:val="18"/>
      <w:szCs w:val="18"/>
    </w:rPr>
  </w:style>
  <w:style w:type="paragraph" w:customStyle="1" w:styleId="69">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18"/>
      <w:szCs w:val="18"/>
    </w:rPr>
  </w:style>
  <w:style w:type="paragraph" w:customStyle="1" w:styleId="70">
    <w:name w:val="xl8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eastAsia="宋体" w:cs="宋体"/>
      <w:b/>
      <w:bCs/>
      <w:kern w:val="0"/>
      <w:sz w:val="18"/>
      <w:szCs w:val="18"/>
    </w:rPr>
  </w:style>
  <w:style w:type="paragraph" w:customStyle="1" w:styleId="71">
    <w:name w:val="xl8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eastAsia="宋体" w:cs="宋体"/>
      <w:color w:val="333333"/>
      <w:kern w:val="0"/>
      <w:sz w:val="18"/>
      <w:szCs w:val="18"/>
    </w:rPr>
  </w:style>
  <w:style w:type="paragraph" w:customStyle="1" w:styleId="72">
    <w:name w:val="xl8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18"/>
      <w:szCs w:val="18"/>
    </w:rPr>
  </w:style>
  <w:style w:type="paragraph" w:customStyle="1" w:styleId="73">
    <w:name w:val="xl8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18"/>
      <w:szCs w:val="18"/>
    </w:rPr>
  </w:style>
  <w:style w:type="paragraph" w:customStyle="1" w:styleId="74">
    <w:name w:val="xl88"/>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75">
    <w:name w:val="xl8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eastAsia="宋体" w:cs="宋体"/>
      <w:kern w:val="0"/>
      <w:sz w:val="18"/>
      <w:szCs w:val="18"/>
    </w:rPr>
  </w:style>
  <w:style w:type="paragraph" w:customStyle="1" w:styleId="76">
    <w:name w:val="xl9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color w:val="333333"/>
      <w:kern w:val="0"/>
      <w:sz w:val="18"/>
      <w:szCs w:val="18"/>
    </w:rPr>
  </w:style>
  <w:style w:type="paragraph" w:customStyle="1" w:styleId="77">
    <w:name w:val="xl9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b/>
      <w:bCs/>
      <w:kern w:val="0"/>
      <w:sz w:val="18"/>
      <w:szCs w:val="18"/>
    </w:rPr>
  </w:style>
  <w:style w:type="paragraph" w:customStyle="1" w:styleId="78">
    <w:name w:val="xl9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b/>
      <w:bCs/>
      <w:kern w:val="0"/>
      <w:sz w:val="18"/>
      <w:szCs w:val="18"/>
    </w:rPr>
  </w:style>
  <w:style w:type="paragraph" w:customStyle="1" w:styleId="79">
    <w:name w:val="xl9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18"/>
      <w:szCs w:val="18"/>
    </w:rPr>
  </w:style>
  <w:style w:type="paragraph" w:customStyle="1" w:styleId="80">
    <w:name w:val="xl9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18"/>
      <w:szCs w:val="18"/>
    </w:rPr>
  </w:style>
  <w:style w:type="paragraph" w:customStyle="1" w:styleId="81">
    <w:name w:val="xl9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82">
    <w:name w:val="xl9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18"/>
      <w:szCs w:val="18"/>
    </w:rPr>
  </w:style>
  <w:style w:type="paragraph" w:customStyle="1" w:styleId="83">
    <w:name w:val="xl97"/>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84">
    <w:name w:val="xl98"/>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85">
    <w:name w:val="xl9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eastAsia="宋体" w:cs="宋体"/>
      <w:b/>
      <w:bCs/>
      <w:color w:val="333333"/>
      <w:kern w:val="0"/>
      <w:sz w:val="18"/>
      <w:szCs w:val="18"/>
    </w:rPr>
  </w:style>
  <w:style w:type="paragraph" w:customStyle="1" w:styleId="86">
    <w:name w:val="xl10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eastAsia="宋体" w:cs="宋体"/>
      <w:b/>
      <w:bCs/>
      <w:kern w:val="0"/>
      <w:sz w:val="18"/>
      <w:szCs w:val="18"/>
    </w:rPr>
  </w:style>
  <w:style w:type="paragraph" w:customStyle="1" w:styleId="87">
    <w:name w:val="xl10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eastAsia="宋体" w:cs="宋体"/>
      <w:color w:val="333333"/>
      <w:kern w:val="0"/>
      <w:sz w:val="18"/>
      <w:szCs w:val="18"/>
    </w:rPr>
  </w:style>
  <w:style w:type="paragraph" w:customStyle="1" w:styleId="88">
    <w:name w:val="xl10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eastAsia="宋体" w:cs="宋体"/>
      <w:kern w:val="0"/>
      <w:sz w:val="18"/>
      <w:szCs w:val="18"/>
    </w:rPr>
  </w:style>
  <w:style w:type="paragraph" w:customStyle="1" w:styleId="89">
    <w:name w:val="xl10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b/>
      <w:bCs/>
      <w:kern w:val="0"/>
      <w:sz w:val="18"/>
      <w:szCs w:val="18"/>
    </w:rPr>
  </w:style>
  <w:style w:type="paragraph" w:customStyle="1" w:styleId="90">
    <w:name w:val="xl104"/>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91">
    <w:name w:val="xl10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eastAsia="宋体" w:cs="宋体"/>
      <w:kern w:val="0"/>
      <w:sz w:val="18"/>
      <w:szCs w:val="18"/>
    </w:rPr>
  </w:style>
  <w:style w:type="paragraph" w:customStyle="1" w:styleId="92">
    <w:name w:val="xl10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12"/>
      <w:szCs w:val="12"/>
    </w:rPr>
  </w:style>
  <w:style w:type="paragraph" w:customStyle="1" w:styleId="93">
    <w:name w:val="xl10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color w:val="FF0000"/>
      <w:kern w:val="0"/>
      <w:sz w:val="18"/>
      <w:szCs w:val="18"/>
    </w:rPr>
  </w:style>
  <w:style w:type="paragraph" w:customStyle="1" w:styleId="94">
    <w:name w:val="xl10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color w:val="191919"/>
      <w:kern w:val="0"/>
      <w:sz w:val="18"/>
      <w:szCs w:val="18"/>
    </w:rPr>
  </w:style>
  <w:style w:type="paragraph" w:customStyle="1" w:styleId="95">
    <w:name w:val="xl10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b/>
      <w:bCs/>
      <w:color w:val="000000"/>
      <w:kern w:val="0"/>
      <w:sz w:val="18"/>
      <w:szCs w:val="18"/>
    </w:rPr>
  </w:style>
  <w:style w:type="paragraph" w:customStyle="1" w:styleId="96">
    <w:name w:val="xl11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97">
    <w:name w:val="xl11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98">
    <w:name w:val="xl11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Times New Roman" w:hAnsi="Times New Roman" w:eastAsia="宋体"/>
      <w:kern w:val="0"/>
      <w:sz w:val="18"/>
      <w:szCs w:val="18"/>
    </w:rPr>
  </w:style>
  <w:style w:type="paragraph" w:customStyle="1" w:styleId="99">
    <w:name w:val="xl11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kern w:val="0"/>
      <w:sz w:val="18"/>
      <w:szCs w:val="18"/>
    </w:rPr>
  </w:style>
  <w:style w:type="paragraph" w:customStyle="1" w:styleId="100">
    <w:name w:val="xl114"/>
    <w:basedOn w:val="1"/>
    <w:qFormat/>
    <w:uiPriority w:val="0"/>
    <w:pPr>
      <w:widowControl/>
      <w:pBdr>
        <w:top w:val="single" w:color="auto" w:sz="4" w:space="0"/>
        <w:left w:val="single" w:color="auto" w:sz="4" w:space="0"/>
        <w:right w:val="single" w:color="auto" w:sz="4" w:space="0"/>
      </w:pBdr>
      <w:shd w:val="clear" w:color="000000" w:fill="FFFFFF"/>
      <w:spacing w:before="100" w:beforeAutospacing="1" w:after="100" w:afterAutospacing="1"/>
      <w:jc w:val="center"/>
    </w:pPr>
    <w:rPr>
      <w:rFonts w:ascii="宋体" w:hAnsi="宋体" w:eastAsia="宋体" w:cs="宋体"/>
      <w:kern w:val="0"/>
      <w:sz w:val="18"/>
      <w:szCs w:val="18"/>
    </w:rPr>
  </w:style>
  <w:style w:type="paragraph" w:customStyle="1" w:styleId="101">
    <w:name w:val="xl115"/>
    <w:basedOn w:val="1"/>
    <w:qFormat/>
    <w:uiPriority w:val="0"/>
    <w:pPr>
      <w:widowControl/>
      <w:pBdr>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eastAsia="宋体" w:cs="宋体"/>
      <w:kern w:val="0"/>
      <w:sz w:val="18"/>
      <w:szCs w:val="18"/>
    </w:rPr>
  </w:style>
  <w:style w:type="paragraph" w:customStyle="1" w:styleId="102">
    <w:name w:val="xl11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kern w:val="0"/>
      <w:sz w:val="18"/>
      <w:szCs w:val="18"/>
    </w:rPr>
  </w:style>
  <w:style w:type="paragraph" w:customStyle="1" w:styleId="103">
    <w:name w:val="xl11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b/>
      <w:bCs/>
      <w:kern w:val="0"/>
      <w:sz w:val="24"/>
      <w:szCs w:val="24"/>
    </w:rPr>
  </w:style>
  <w:style w:type="paragraph" w:customStyle="1" w:styleId="104">
    <w:name w:val="xl118"/>
    <w:basedOn w:val="1"/>
    <w:qFormat/>
    <w:uiPriority w:val="0"/>
    <w:pPr>
      <w:widowControl/>
      <w:pBdr>
        <w:top w:val="single" w:color="auto" w:sz="4" w:space="0"/>
        <w:left w:val="single" w:color="auto" w:sz="4" w:space="0"/>
        <w:right w:val="single" w:color="auto" w:sz="4" w:space="0"/>
      </w:pBdr>
      <w:shd w:val="clear" w:color="000000" w:fill="FFFFFF"/>
      <w:spacing w:before="100" w:beforeAutospacing="1" w:after="100" w:afterAutospacing="1"/>
      <w:jc w:val="center"/>
    </w:pPr>
    <w:rPr>
      <w:rFonts w:ascii="宋体" w:hAnsi="宋体" w:eastAsia="宋体" w:cs="宋体"/>
      <w:color w:val="333333"/>
      <w:kern w:val="0"/>
      <w:sz w:val="18"/>
      <w:szCs w:val="18"/>
    </w:rPr>
  </w:style>
  <w:style w:type="paragraph" w:customStyle="1" w:styleId="105">
    <w:name w:val="xl119"/>
    <w:basedOn w:val="1"/>
    <w:qFormat/>
    <w:uiPriority w:val="0"/>
    <w:pPr>
      <w:widowControl/>
      <w:pBdr>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eastAsia="宋体" w:cs="宋体"/>
      <w:color w:val="333333"/>
      <w:kern w:val="0"/>
      <w:sz w:val="18"/>
      <w:szCs w:val="18"/>
    </w:rPr>
  </w:style>
  <w:style w:type="paragraph" w:customStyle="1" w:styleId="106">
    <w:name w:val="xl12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eastAsia="宋体" w:cs="宋体"/>
      <w:kern w:val="0"/>
      <w:sz w:val="18"/>
      <w:szCs w:val="18"/>
    </w:rPr>
  </w:style>
  <w:style w:type="paragraph" w:customStyle="1" w:styleId="107">
    <w:name w:val="xl12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eastAsia="宋体" w:cs="宋体"/>
      <w:color w:val="FF0000"/>
      <w:kern w:val="0"/>
      <w:sz w:val="18"/>
      <w:szCs w:val="18"/>
    </w:rPr>
  </w:style>
  <w:style w:type="paragraph" w:customStyle="1" w:styleId="108">
    <w:name w:val="xl12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eastAsia="宋体" w:cs="宋体"/>
      <w:b/>
      <w:bCs/>
      <w:kern w:val="0"/>
      <w:sz w:val="32"/>
      <w:szCs w:val="32"/>
    </w:rPr>
  </w:style>
  <w:style w:type="paragraph" w:customStyle="1" w:styleId="109">
    <w:name w:val="xl12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kern w:val="0"/>
      <w:sz w:val="24"/>
      <w:szCs w:val="24"/>
    </w:rPr>
  </w:style>
  <w:style w:type="paragraph" w:customStyle="1" w:styleId="110">
    <w:name w:val="xl1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eastAsia="宋体" w:cs="宋体"/>
      <w:b/>
      <w:bCs/>
      <w:kern w:val="0"/>
      <w:sz w:val="18"/>
      <w:szCs w:val="18"/>
    </w:rPr>
  </w:style>
  <w:style w:type="paragraph" w:customStyle="1" w:styleId="111">
    <w:name w:val="xl12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eastAsia="宋体" w:cs="宋体"/>
      <w:b/>
      <w:bCs/>
      <w:color w:val="333333"/>
      <w:kern w:val="0"/>
      <w:sz w:val="18"/>
      <w:szCs w:val="18"/>
    </w:rPr>
  </w:style>
  <w:style w:type="character" w:customStyle="1" w:styleId="112">
    <w:name w:val="未处理的提及1"/>
    <w:basedOn w:val="22"/>
    <w:semiHidden/>
    <w:qFormat/>
    <w:uiPriority w:val="99"/>
    <w:rPr>
      <w:rFonts w:cs="Times New Roman"/>
      <w:color w:val="605E5C"/>
      <w:shd w:val="clear" w:color="auto" w:fill="E1DFDD"/>
    </w:rPr>
  </w:style>
  <w:style w:type="paragraph" w:customStyle="1" w:styleId="113">
    <w:name w:val="ha1"/>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114">
    <w:name w:val="fw2"/>
    <w:basedOn w:val="22"/>
    <w:qFormat/>
    <w:uiPriority w:val="0"/>
    <w:rPr>
      <w:rFonts w:cs="Times New Roman"/>
    </w:rPr>
  </w:style>
  <w:style w:type="paragraph" w:customStyle="1" w:styleId="115">
    <w:name w:val="Body text|1"/>
    <w:basedOn w:val="1"/>
    <w:qFormat/>
    <w:uiPriority w:val="0"/>
    <w:pPr>
      <w:spacing w:line="331" w:lineRule="auto"/>
      <w:ind w:firstLine="400"/>
    </w:pPr>
    <w:rPr>
      <w:rFonts w:ascii="宋体" w:hAnsi="宋体" w:eastAsia="宋体" w:cs="宋体"/>
      <w:sz w:val="20"/>
      <w:szCs w:val="20"/>
      <w:lang w:val="zh-TW" w:eastAsia="zh-TW"/>
    </w:rPr>
  </w:style>
  <w:style w:type="paragraph" w:customStyle="1" w:styleId="116">
    <w:name w:val="章"/>
    <w:basedOn w:val="1"/>
    <w:qFormat/>
    <w:uiPriority w:val="99"/>
    <w:pPr>
      <w:spacing w:beforeLines="100" w:afterLines="100" w:line="300" w:lineRule="auto"/>
      <w:jc w:val="center"/>
      <w:outlineLvl w:val="0"/>
    </w:pPr>
    <w:rPr>
      <w:rFonts w:ascii="Times New Roman" w:hAnsi="Times New Roman" w:eastAsia="宋体"/>
      <w:b/>
      <w:bCs/>
      <w:sz w:val="28"/>
      <w:szCs w:val="28"/>
    </w:rPr>
  </w:style>
  <w:style w:type="character" w:customStyle="1" w:styleId="117">
    <w:name w:val="wzzc"/>
    <w:basedOn w:val="22"/>
    <w:qFormat/>
    <w:uiPriority w:val="99"/>
    <w:rPr>
      <w:rFonts w:cs="Times New Roman"/>
    </w:rPr>
  </w:style>
  <w:style w:type="paragraph" w:customStyle="1" w:styleId="118">
    <w:name w:val="修订1"/>
    <w:hidden/>
    <w:qFormat/>
    <w:uiPriority w:val="99"/>
    <w:rPr>
      <w:rFonts w:ascii="等线" w:hAnsi="等线" w:eastAsia="等线" w:cs="Times New Roman"/>
      <w:kern w:val="2"/>
      <w:sz w:val="21"/>
      <w:szCs w:val="22"/>
      <w:lang w:val="en-US" w:eastAsia="zh-CN" w:bidi="ar-SA"/>
    </w:rPr>
  </w:style>
  <w:style w:type="character" w:customStyle="1" w:styleId="119">
    <w:name w:val="纯文本 字符"/>
    <w:basedOn w:val="22"/>
    <w:link w:val="12"/>
    <w:qFormat/>
    <w:uiPriority w:val="0"/>
    <w:rPr>
      <w:rFonts w:ascii="宋体" w:hAnsi="Courier New" w:cs="Courier New" w:eastAsiaTheme="minorEastAsia"/>
      <w:kern w:val="2"/>
      <w:sz w:val="21"/>
      <w:szCs w:val="21"/>
    </w:rPr>
  </w:style>
  <w:style w:type="paragraph" w:customStyle="1" w:styleId="120">
    <w:name w:val="Other|1"/>
    <w:basedOn w:val="1"/>
    <w:qFormat/>
    <w:uiPriority w:val="0"/>
    <w:pPr>
      <w:spacing w:line="331" w:lineRule="auto"/>
      <w:ind w:firstLine="40"/>
    </w:pPr>
    <w:rPr>
      <w:rFonts w:ascii="宋体" w:hAnsi="宋体" w:eastAsia="宋体" w:cs="宋体"/>
      <w:sz w:val="20"/>
      <w:szCs w:val="20"/>
      <w:lang w:val="zh-TW" w:eastAsia="zh-TW" w:bidi="zh-TW"/>
    </w:rPr>
  </w:style>
  <w:style w:type="table" w:customStyle="1" w:styleId="121">
    <w:name w:val="Table Normal"/>
    <w:semiHidden/>
    <w:unhideWhenUsed/>
    <w:qFormat/>
    <w:uiPriority w:val="0"/>
    <w:tblPr>
      <w:tblCellMar>
        <w:top w:w="0" w:type="dxa"/>
        <w:left w:w="0" w:type="dxa"/>
        <w:bottom w:w="0" w:type="dxa"/>
        <w:right w:w="0" w:type="dxa"/>
      </w:tblCellMar>
    </w:tblPr>
  </w:style>
  <w:style w:type="paragraph" w:customStyle="1" w:styleId="122">
    <w:name w:val="Table caption|1"/>
    <w:basedOn w:val="1"/>
    <w:qFormat/>
    <w:uiPriority w:val="0"/>
    <w:rPr>
      <w:rFonts w:ascii="宋体" w:hAnsi="宋体" w:eastAsia="宋体" w:cs="宋体"/>
      <w:sz w:val="18"/>
      <w:szCs w:val="18"/>
      <w:lang w:val="zh-TW" w:eastAsia="zh-TW" w:bidi="zh-TW"/>
    </w:rPr>
  </w:style>
  <w:style w:type="paragraph" w:customStyle="1" w:styleId="123">
    <w:name w:val="Body text|2"/>
    <w:basedOn w:val="1"/>
    <w:qFormat/>
    <w:uiPriority w:val="0"/>
    <w:pPr>
      <w:spacing w:line="315" w:lineRule="exact"/>
    </w:pPr>
    <w:rPr>
      <w:rFonts w:asciiTheme="minorHAnsi" w:hAnsiTheme="minorHAnsi" w:eastAsiaTheme="minorEastAsia" w:cstheme="minorBidi"/>
      <w:sz w:val="20"/>
      <w:szCs w:val="20"/>
    </w:rPr>
  </w:style>
  <w:style w:type="paragraph" w:customStyle="1" w:styleId="124">
    <w:name w:val="Heading #4|1"/>
    <w:basedOn w:val="1"/>
    <w:qFormat/>
    <w:uiPriority w:val="0"/>
    <w:pPr>
      <w:spacing w:after="240"/>
      <w:outlineLvl w:val="3"/>
    </w:pPr>
    <w:rPr>
      <w:rFonts w:asciiTheme="minorHAnsi" w:hAnsiTheme="minorHAnsi" w:eastAsiaTheme="minorEastAsia" w:cstheme="minorBidi"/>
      <w:b/>
      <w:bCs/>
      <w:sz w:val="20"/>
      <w:szCs w:val="20"/>
      <w:lang w:val="zh-TW" w:eastAsia="zh-TW" w:bidi="zh-TW"/>
    </w:rPr>
  </w:style>
  <w:style w:type="paragraph" w:customStyle="1" w:styleId="125">
    <w:name w:val="Body text|3"/>
    <w:basedOn w:val="1"/>
    <w:qFormat/>
    <w:uiPriority w:val="0"/>
    <w:pPr>
      <w:spacing w:after="80"/>
      <w:ind w:firstLine="860"/>
    </w:pPr>
    <w:rPr>
      <w:rFonts w:ascii="宋体" w:hAnsi="宋体" w:eastAsia="宋体" w:cs="宋体"/>
      <w:sz w:val="16"/>
      <w:szCs w:val="16"/>
      <w:lang w:val="zh-TW" w:eastAsia="zh-TW" w:bidi="zh-TW"/>
    </w:rPr>
  </w:style>
  <w:style w:type="paragraph" w:customStyle="1" w:styleId="126">
    <w:name w:val="Body text|5"/>
    <w:basedOn w:val="1"/>
    <w:qFormat/>
    <w:uiPriority w:val="0"/>
    <w:rPr>
      <w:rFonts w:asciiTheme="minorHAnsi" w:hAnsiTheme="minorHAnsi" w:eastAsiaTheme="minorEastAsia" w:cstheme="minorBidi"/>
      <w:b/>
      <w:bCs/>
      <w:sz w:val="34"/>
      <w:szCs w:val="34"/>
      <w:shd w:val="clear" w:color="auto" w:fill="FFFFFF"/>
    </w:rPr>
  </w:style>
  <w:style w:type="paragraph" w:customStyle="1" w:styleId="127">
    <w:name w:val="Header or footer|1"/>
    <w:basedOn w:val="1"/>
    <w:qFormat/>
    <w:uiPriority w:val="0"/>
    <w:rPr>
      <w:rFonts w:asciiTheme="minorHAnsi" w:hAnsiTheme="minorHAnsi" w:eastAsiaTheme="minorEastAsia" w:cstheme="minorBidi"/>
      <w:sz w:val="20"/>
      <w:szCs w:val="20"/>
      <w:lang w:val="zh-TW" w:eastAsia="zh-TW" w:bidi="zh-TW"/>
    </w:rPr>
  </w:style>
  <w:style w:type="paragraph" w:customStyle="1" w:styleId="128">
    <w:name w:val="Header or footer|2"/>
    <w:basedOn w:val="1"/>
    <w:qFormat/>
    <w:uiPriority w:val="0"/>
    <w:rPr>
      <w:rFonts w:asciiTheme="minorHAnsi" w:hAnsiTheme="minorHAnsi" w:eastAsiaTheme="minorEastAsia" w:cstheme="minorBidi"/>
      <w:sz w:val="20"/>
      <w:szCs w:val="20"/>
      <w:lang w:val="zh-TW" w:eastAsia="zh-TW" w:bidi="zh-TW"/>
    </w:rPr>
  </w:style>
  <w:style w:type="character" w:customStyle="1" w:styleId="129">
    <w:name w:val="正文文本 字符"/>
    <w:basedOn w:val="22"/>
    <w:link w:val="11"/>
    <w:semiHidden/>
    <w:qFormat/>
    <w:uiPriority w:val="99"/>
    <w:rPr>
      <w:rFonts w:ascii="等线" w:hAnsi="等线" w:eastAsia="等线"/>
      <w:kern w:val="2"/>
      <w:sz w:val="21"/>
      <w:szCs w:val="22"/>
    </w:rPr>
  </w:style>
  <w:style w:type="character" w:customStyle="1" w:styleId="130">
    <w:name w:val="标题 2 字符"/>
    <w:basedOn w:val="22"/>
    <w:link w:val="5"/>
    <w:qFormat/>
    <w:uiPriority w:val="0"/>
    <w:rPr>
      <w:rFonts w:ascii="Arial" w:hAnsi="Arial" w:eastAsia="黑体"/>
      <w:b/>
      <w:bCs/>
      <w:kern w:val="2"/>
      <w:sz w:val="32"/>
      <w:szCs w:val="32"/>
    </w:rPr>
  </w:style>
  <w:style w:type="character" w:customStyle="1" w:styleId="131">
    <w:name w:val="标题 6 字符"/>
    <w:basedOn w:val="22"/>
    <w:link w:val="8"/>
    <w:qFormat/>
    <w:uiPriority w:val="1"/>
    <w:rPr>
      <w:rFonts w:ascii="宋体" w:hAnsi="宋体" w:cs="宋体"/>
      <w:kern w:val="2"/>
      <w:sz w:val="21"/>
      <w:szCs w:val="21"/>
    </w:rPr>
  </w:style>
  <w:style w:type="character" w:customStyle="1" w:styleId="132">
    <w:name w:val="标题 7 字符"/>
    <w:basedOn w:val="22"/>
    <w:link w:val="9"/>
    <w:qFormat/>
    <w:uiPriority w:val="1"/>
    <w:rPr>
      <w:rFonts w:ascii="宋体" w:hAnsi="宋体" w:cs="宋体"/>
      <w:kern w:val="2"/>
    </w:rPr>
  </w:style>
  <w:style w:type="character" w:customStyle="1" w:styleId="133">
    <w:name w:val="正文文本缩进 3 字符"/>
    <w:basedOn w:val="22"/>
    <w:link w:val="16"/>
    <w:qFormat/>
    <w:uiPriority w:val="0"/>
    <w:rPr>
      <w:rFonts w:ascii="宋体"/>
      <w:spacing w:val="20"/>
      <w:kern w:val="2"/>
      <w:sz w:val="21"/>
    </w:rPr>
  </w:style>
  <w:style w:type="paragraph" w:customStyle="1" w:styleId="134">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 w:type="paragraph" w:customStyle="1" w:styleId="135">
    <w:name w:val="列出段落2"/>
    <w:basedOn w:val="1"/>
    <w:qFormat/>
    <w:uiPriority w:val="34"/>
    <w:pPr>
      <w:widowControl/>
      <w:ind w:firstLine="420" w:firstLineChars="200"/>
    </w:pPr>
    <w:rPr>
      <w:rFonts w:ascii="Times New Roman" w:hAnsi="Times New Roman" w:eastAsia="宋体"/>
      <w:szCs w:val="20"/>
    </w:rPr>
  </w:style>
  <w:style w:type="paragraph" w:customStyle="1" w:styleId="136">
    <w:name w:val="Table Paragraph"/>
    <w:basedOn w:val="1"/>
    <w:qFormat/>
    <w:uiPriority w:val="1"/>
    <w:pPr>
      <w:widowControl/>
    </w:pPr>
    <w:rPr>
      <w:rFonts w:ascii="宋体" w:hAnsi="宋体" w:eastAsia="宋体" w:cs="宋体"/>
      <w:szCs w:val="20"/>
      <w:lang w:val="zh-CN" w:bidi="zh-CN"/>
    </w:rPr>
  </w:style>
  <w:style w:type="paragraph" w:styleId="137">
    <w:name w:val="List Paragraph"/>
    <w:basedOn w:val="1"/>
    <w:qFormat/>
    <w:uiPriority w:val="1"/>
    <w:pPr>
      <w:widowControl/>
      <w:ind w:left="952" w:firstLine="419"/>
    </w:pPr>
    <w:rPr>
      <w:rFonts w:ascii="宋体" w:hAnsi="宋体" w:eastAsia="宋体" w:cs="宋体"/>
      <w:szCs w:val="20"/>
    </w:rPr>
  </w:style>
  <w:style w:type="paragraph" w:customStyle="1" w:styleId="138">
    <w:name w:val="Body text|4"/>
    <w:basedOn w:val="1"/>
    <w:qFormat/>
    <w:uiPriority w:val="0"/>
    <w:pPr>
      <w:spacing w:after="100"/>
      <w:ind w:right="260"/>
      <w:jc w:val="right"/>
    </w:pPr>
    <w:rPr>
      <w:rFonts w:ascii="Times New Roman" w:hAnsi="Times New Roman" w:eastAsia="宋体"/>
      <w:sz w:val="26"/>
      <w:szCs w:val="26"/>
      <w:lang w:val="zh-TW" w:eastAsia="zh-TW" w:bidi="zh-TW"/>
    </w:rPr>
  </w:style>
  <w:style w:type="character" w:customStyle="1" w:styleId="139">
    <w:name w:val="批注主题 字符"/>
    <w:basedOn w:val="31"/>
    <w:link w:val="19"/>
    <w:semiHidden/>
    <w:qFormat/>
    <w:uiPriority w:val="99"/>
    <w:rPr>
      <w:rFonts w:ascii="等线" w:hAnsi="等线" w:eastAsia="等线"/>
      <w:b/>
      <w:bCs/>
      <w:kern w:val="2"/>
      <w:sz w:val="21"/>
    </w:rPr>
  </w:style>
  <w:style w:type="character" w:customStyle="1" w:styleId="140">
    <w:name w:val="font301"/>
    <w:qFormat/>
    <w:uiPriority w:val="99"/>
    <w:rPr>
      <w:rFonts w:ascii="宋体" w:hAnsi="宋体" w:eastAsia="宋体"/>
      <w:b/>
      <w:color w:val="000000"/>
      <w:sz w:val="36"/>
      <w:u w:val="none"/>
    </w:rPr>
  </w:style>
  <w:style w:type="character" w:customStyle="1" w:styleId="141">
    <w:name w:val="标题 4 字符1"/>
    <w:basedOn w:val="22"/>
    <w:link w:val="7"/>
    <w:semiHidden/>
    <w:qFormat/>
    <w:uiPriority w:val="9"/>
    <w:rPr>
      <w:rFonts w:ascii="Cambria" w:hAnsi="Cambria" w:eastAsia="宋体" w:cs="Times New Roman"/>
      <w:b/>
      <w:bCs/>
      <w:sz w:val="28"/>
      <w:szCs w:val="28"/>
    </w:rPr>
  </w:style>
  <w:style w:type="character" w:customStyle="1" w:styleId="142">
    <w:name w:val="font201"/>
    <w:qFormat/>
    <w:uiPriority w:val="99"/>
    <w:rPr>
      <w:rFonts w:ascii="宋体" w:hAnsi="宋体" w:eastAsia="宋体"/>
      <w:color w:val="000000"/>
      <w:sz w:val="21"/>
      <w:u w:val="none"/>
    </w:rPr>
  </w:style>
  <w:style w:type="character" w:customStyle="1" w:styleId="143">
    <w:name w:val="font121"/>
    <w:qFormat/>
    <w:uiPriority w:val="99"/>
    <w:rPr>
      <w:rFonts w:ascii="Times New Roman" w:hAnsi="Times New Roman"/>
      <w:color w:val="000000"/>
      <w:sz w:val="21"/>
      <w:u w:val="none"/>
    </w:rPr>
  </w:style>
  <w:style w:type="character" w:customStyle="1" w:styleId="144">
    <w:name w:val="font81"/>
    <w:qFormat/>
    <w:uiPriority w:val="99"/>
    <w:rPr>
      <w:rFonts w:ascii="宋体" w:hAnsi="宋体" w:eastAsia="宋体"/>
      <w:color w:val="000000"/>
      <w:sz w:val="21"/>
      <w:u w:val="none"/>
    </w:rPr>
  </w:style>
  <w:style w:type="character" w:customStyle="1" w:styleId="145">
    <w:name w:val="font141"/>
    <w:qFormat/>
    <w:uiPriority w:val="99"/>
    <w:rPr>
      <w:rFonts w:ascii="Times New Roman" w:hAnsi="Times New Roman"/>
      <w:color w:val="000000"/>
      <w:sz w:val="21"/>
      <w:u w:val="none"/>
    </w:rPr>
  </w:style>
  <w:style w:type="paragraph" w:customStyle="1" w:styleId="146">
    <w:name w:val="修订2"/>
    <w:hidden/>
    <w:semiHidden/>
    <w:qFormat/>
    <w:uiPriority w:val="99"/>
    <w:rPr>
      <w:rFonts w:ascii="等线" w:hAnsi="等线" w:eastAsia="等线" w:cs="Times New Roman"/>
      <w:kern w:val="2"/>
      <w:sz w:val="21"/>
      <w:szCs w:val="22"/>
      <w:lang w:val="en-US" w:eastAsia="zh-CN" w:bidi="ar-SA"/>
    </w:rPr>
  </w:style>
  <w:style w:type="character" w:customStyle="1" w:styleId="147">
    <w:name w:val="Unresolved Mention"/>
    <w:basedOn w:val="22"/>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1.bin"/><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jpe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wmf"/><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68</Pages>
  <Words>97173</Words>
  <Characters>109428</Characters>
  <Lines>808</Lines>
  <Paragraphs>227</Paragraphs>
  <TotalTime>16</TotalTime>
  <ScaleCrop>false</ScaleCrop>
  <LinksUpToDate>false</LinksUpToDate>
  <CharactersWithSpaces>111832</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2022-08-26T17:38:00Z</dcterms:created>
  <dc:creator>静 朱</dc:creator>
  <cp:lastModifiedBy>朱静</cp:lastModifiedBy>
  <cp:lastPrinted>2022-11-17T00:59:00Z</cp:lastPrinted>
  <dcterms:modified xsi:type="dcterms:W3CDTF">2023-06-18T22:12:41Z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CE5A3AA27E5041BF86C7FD40B51252BF_13</vt:lpwstr>
  </property>
</Properties>
</file>