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8CA" w:rsidRDefault="0091368A" w:rsidP="001C477C">
      <w:pPr>
        <w:autoSpaceDE/>
        <w:autoSpaceDN/>
        <w:snapToGrid/>
        <w:spacing w:line="240" w:lineRule="auto"/>
        <w:ind w:firstLine="0"/>
        <w:jc w:val="left"/>
        <w:rPr>
          <w:rFonts w:ascii="方正黑体_GBK" w:eastAsia="方正黑体_GBK" w:hAnsi="方正黑体_GBK" w:cs="方正黑体_GBK"/>
          <w:snapToGrid/>
          <w:color w:val="000000"/>
          <w:szCs w:val="32"/>
          <w:lang w:val="en" w:bidi="ar"/>
        </w:rPr>
      </w:pPr>
      <w:bookmarkStart w:id="0" w:name="_GoBack"/>
      <w:bookmarkEnd w:id="0"/>
      <w:r>
        <w:rPr>
          <w:rFonts w:ascii="方正黑体_GBK" w:eastAsia="方正黑体_GBK" w:hAnsi="方正黑体_GBK" w:cs="方正黑体_GBK" w:hint="eastAsia"/>
          <w:snapToGrid/>
          <w:color w:val="000000"/>
          <w:szCs w:val="32"/>
          <w:lang w:val="en" w:bidi="ar"/>
        </w:rPr>
        <w:t>附件</w:t>
      </w:r>
    </w:p>
    <w:p w:rsidR="00A908CA" w:rsidRDefault="0091368A" w:rsidP="001C477C">
      <w:pPr>
        <w:autoSpaceDE/>
        <w:autoSpaceDN/>
        <w:snapToGrid/>
        <w:spacing w:line="240" w:lineRule="auto"/>
        <w:ind w:firstLine="0"/>
        <w:jc w:val="center"/>
        <w:rPr>
          <w:rFonts w:ascii="方正小标宋_GBK" w:eastAsia="方正小标宋_GBK" w:hAnsi="方正小标宋_GBK" w:cs="方正小标宋_GBK"/>
          <w:snapToGrid/>
          <w:kern w:val="2"/>
          <w:sz w:val="44"/>
          <w:szCs w:val="44"/>
        </w:rPr>
      </w:pPr>
      <w:r>
        <w:rPr>
          <w:rFonts w:ascii="方正小标宋_GBK" w:eastAsia="方正小标宋_GBK" w:hAnsi="方正小标宋_GBK" w:cs="方正小标宋_GBK" w:hint="eastAsia"/>
          <w:snapToGrid/>
          <w:color w:val="000000"/>
          <w:sz w:val="44"/>
          <w:szCs w:val="44"/>
          <w:lang w:bidi="ar"/>
        </w:rPr>
        <w:t>江苏省建筑领域节能</w:t>
      </w:r>
      <w:proofErr w:type="gramStart"/>
      <w:r>
        <w:rPr>
          <w:rFonts w:ascii="方正小标宋_GBK" w:eastAsia="方正小标宋_GBK" w:hAnsi="方正小标宋_GBK" w:cs="方正小标宋_GBK" w:hint="eastAsia"/>
          <w:snapToGrid/>
          <w:color w:val="000000"/>
          <w:sz w:val="44"/>
          <w:szCs w:val="44"/>
          <w:lang w:bidi="ar"/>
        </w:rPr>
        <w:t>降碳经验</w:t>
      </w:r>
      <w:proofErr w:type="gramEnd"/>
      <w:r>
        <w:rPr>
          <w:rFonts w:ascii="方正小标宋_GBK" w:eastAsia="方正小标宋_GBK" w:hAnsi="方正小标宋_GBK" w:cs="方正小标宋_GBK" w:hint="eastAsia"/>
          <w:snapToGrid/>
          <w:color w:val="000000"/>
          <w:sz w:val="44"/>
          <w:szCs w:val="44"/>
          <w:lang w:bidi="ar"/>
        </w:rPr>
        <w:t>做法清单</w:t>
      </w:r>
    </w:p>
    <w:tbl>
      <w:tblPr>
        <w:tblStyle w:val="12"/>
        <w:tblW w:w="14938" w:type="dxa"/>
        <w:jc w:val="center"/>
        <w:tblLook w:val="04A0" w:firstRow="1" w:lastRow="0" w:firstColumn="1" w:lastColumn="0" w:noHBand="0" w:noVBand="1"/>
      </w:tblPr>
      <w:tblGrid>
        <w:gridCol w:w="709"/>
        <w:gridCol w:w="1156"/>
        <w:gridCol w:w="1455"/>
        <w:gridCol w:w="11618"/>
      </w:tblGrid>
      <w:tr w:rsidR="00A908CA" w:rsidTr="001C477C">
        <w:trPr>
          <w:jc w:val="center"/>
        </w:trPr>
        <w:tc>
          <w:tcPr>
            <w:tcW w:w="709" w:type="dxa"/>
            <w:vAlign w:val="center"/>
          </w:tcPr>
          <w:p w:rsidR="00A908CA" w:rsidRDefault="0091368A" w:rsidP="001C477C">
            <w:pPr>
              <w:autoSpaceDE/>
              <w:autoSpaceDN/>
              <w:spacing w:line="240" w:lineRule="auto"/>
              <w:ind w:firstLine="0"/>
              <w:jc w:val="center"/>
              <w:rPr>
                <w:rFonts w:eastAsia="方正黑体_GBK"/>
                <w:bCs/>
                <w:kern w:val="2"/>
                <w:sz w:val="36"/>
                <w:szCs w:val="28"/>
              </w:rPr>
            </w:pPr>
            <w:r>
              <w:rPr>
                <w:rFonts w:eastAsia="方正黑体_GBK"/>
                <w:bCs/>
                <w:kern w:val="2"/>
                <w:sz w:val="36"/>
                <w:szCs w:val="28"/>
              </w:rPr>
              <w:t>序号</w:t>
            </w:r>
          </w:p>
        </w:tc>
        <w:tc>
          <w:tcPr>
            <w:tcW w:w="1156" w:type="dxa"/>
            <w:vAlign w:val="center"/>
          </w:tcPr>
          <w:p w:rsidR="00A908CA" w:rsidRDefault="0091368A" w:rsidP="001C477C">
            <w:pPr>
              <w:autoSpaceDE/>
              <w:autoSpaceDN/>
              <w:spacing w:line="240" w:lineRule="auto"/>
              <w:ind w:firstLine="0"/>
              <w:jc w:val="center"/>
              <w:rPr>
                <w:rFonts w:eastAsia="方正黑体_GBK"/>
                <w:bCs/>
                <w:kern w:val="2"/>
                <w:sz w:val="36"/>
                <w:szCs w:val="28"/>
              </w:rPr>
            </w:pPr>
            <w:r>
              <w:rPr>
                <w:rFonts w:eastAsia="方正黑体_GBK"/>
                <w:bCs/>
                <w:kern w:val="2"/>
                <w:sz w:val="36"/>
                <w:szCs w:val="28"/>
              </w:rPr>
              <w:t>工作机制</w:t>
            </w:r>
          </w:p>
        </w:tc>
        <w:tc>
          <w:tcPr>
            <w:tcW w:w="1455" w:type="dxa"/>
            <w:vAlign w:val="center"/>
          </w:tcPr>
          <w:p w:rsidR="00A908CA" w:rsidRDefault="0091368A" w:rsidP="001C477C">
            <w:pPr>
              <w:autoSpaceDE/>
              <w:autoSpaceDN/>
              <w:spacing w:line="240" w:lineRule="auto"/>
              <w:ind w:firstLine="0"/>
              <w:jc w:val="center"/>
              <w:rPr>
                <w:rFonts w:eastAsia="方正黑体_GBK"/>
                <w:bCs/>
                <w:kern w:val="2"/>
                <w:sz w:val="36"/>
                <w:szCs w:val="28"/>
              </w:rPr>
            </w:pPr>
            <w:r>
              <w:rPr>
                <w:rFonts w:eastAsia="方正黑体_GBK"/>
                <w:bCs/>
                <w:kern w:val="2"/>
                <w:sz w:val="36"/>
                <w:szCs w:val="28"/>
              </w:rPr>
              <w:t>主要</w:t>
            </w:r>
          </w:p>
          <w:p w:rsidR="00A908CA" w:rsidRDefault="0091368A" w:rsidP="001C477C">
            <w:pPr>
              <w:autoSpaceDE/>
              <w:autoSpaceDN/>
              <w:spacing w:line="240" w:lineRule="auto"/>
              <w:ind w:firstLine="0"/>
              <w:jc w:val="center"/>
              <w:rPr>
                <w:rFonts w:eastAsia="方正黑体_GBK"/>
                <w:bCs/>
                <w:kern w:val="2"/>
                <w:sz w:val="36"/>
                <w:szCs w:val="28"/>
              </w:rPr>
            </w:pPr>
            <w:r>
              <w:rPr>
                <w:rFonts w:eastAsia="方正黑体_GBK"/>
                <w:bCs/>
                <w:kern w:val="2"/>
                <w:sz w:val="36"/>
                <w:szCs w:val="28"/>
              </w:rPr>
              <w:t>举措</w:t>
            </w:r>
          </w:p>
        </w:tc>
        <w:tc>
          <w:tcPr>
            <w:tcW w:w="11618" w:type="dxa"/>
            <w:vAlign w:val="center"/>
          </w:tcPr>
          <w:p w:rsidR="00A908CA" w:rsidRDefault="0091368A" w:rsidP="001C477C">
            <w:pPr>
              <w:autoSpaceDE/>
              <w:autoSpaceDN/>
              <w:spacing w:line="240" w:lineRule="auto"/>
              <w:ind w:firstLine="0"/>
              <w:jc w:val="center"/>
              <w:rPr>
                <w:rFonts w:eastAsia="方正黑体_GBK"/>
                <w:bCs/>
                <w:kern w:val="2"/>
                <w:sz w:val="36"/>
                <w:szCs w:val="28"/>
              </w:rPr>
            </w:pPr>
            <w:r>
              <w:rPr>
                <w:rFonts w:eastAsia="方正黑体_GBK"/>
                <w:bCs/>
                <w:kern w:val="2"/>
                <w:sz w:val="36"/>
                <w:szCs w:val="28"/>
              </w:rPr>
              <w:t>经验做法</w:t>
            </w:r>
          </w:p>
        </w:tc>
      </w:tr>
      <w:tr w:rsidR="00A908CA" w:rsidTr="001C477C">
        <w:trPr>
          <w:jc w:val="center"/>
        </w:trPr>
        <w:tc>
          <w:tcPr>
            <w:tcW w:w="709" w:type="dxa"/>
            <w:vMerge w:val="restart"/>
            <w:vAlign w:val="center"/>
          </w:tcPr>
          <w:p w:rsidR="00A908CA" w:rsidRDefault="0091368A" w:rsidP="001C477C">
            <w:pPr>
              <w:autoSpaceDE/>
              <w:autoSpaceDN/>
              <w:spacing w:line="240" w:lineRule="auto"/>
              <w:ind w:firstLine="0"/>
              <w:jc w:val="center"/>
              <w:rPr>
                <w:rFonts w:eastAsia="方正黑体_GBK"/>
                <w:bCs/>
                <w:kern w:val="2"/>
                <w:sz w:val="28"/>
                <w:szCs w:val="28"/>
              </w:rPr>
            </w:pPr>
            <w:proofErr w:type="gramStart"/>
            <w:r>
              <w:rPr>
                <w:rFonts w:eastAsia="方正黑体_GBK"/>
                <w:bCs/>
                <w:kern w:val="2"/>
                <w:sz w:val="28"/>
                <w:szCs w:val="28"/>
              </w:rPr>
              <w:t>一</w:t>
            </w:r>
            <w:proofErr w:type="gramEnd"/>
          </w:p>
        </w:tc>
        <w:tc>
          <w:tcPr>
            <w:tcW w:w="1156" w:type="dxa"/>
            <w:vMerge w:val="restart"/>
            <w:vAlign w:val="center"/>
          </w:tcPr>
          <w:p w:rsidR="00A908CA" w:rsidRDefault="0091368A" w:rsidP="001C477C">
            <w:pPr>
              <w:autoSpaceDE/>
              <w:autoSpaceDN/>
              <w:spacing w:line="240" w:lineRule="auto"/>
              <w:ind w:firstLine="0"/>
              <w:jc w:val="center"/>
              <w:rPr>
                <w:rFonts w:eastAsia="方正黑体_GBK"/>
                <w:bCs/>
                <w:kern w:val="2"/>
                <w:szCs w:val="28"/>
              </w:rPr>
            </w:pPr>
            <w:r>
              <w:rPr>
                <w:rFonts w:eastAsia="方正黑体_GBK"/>
                <w:bCs/>
                <w:kern w:val="2"/>
                <w:szCs w:val="28"/>
              </w:rPr>
              <w:t>政策</w:t>
            </w:r>
          </w:p>
          <w:p w:rsidR="00A908CA" w:rsidRDefault="0091368A" w:rsidP="001C477C">
            <w:pPr>
              <w:autoSpaceDE/>
              <w:autoSpaceDN/>
              <w:spacing w:line="240" w:lineRule="auto"/>
              <w:ind w:firstLine="0"/>
              <w:jc w:val="center"/>
              <w:rPr>
                <w:bCs/>
                <w:kern w:val="2"/>
                <w:szCs w:val="28"/>
              </w:rPr>
            </w:pPr>
            <w:r>
              <w:rPr>
                <w:rFonts w:eastAsia="方正黑体_GBK"/>
                <w:bCs/>
                <w:kern w:val="2"/>
                <w:szCs w:val="28"/>
              </w:rPr>
              <w:t>引导</w:t>
            </w:r>
          </w:p>
        </w:tc>
        <w:tc>
          <w:tcPr>
            <w:tcW w:w="1455" w:type="dxa"/>
            <w:vMerge w:val="restart"/>
            <w:vAlign w:val="center"/>
          </w:tcPr>
          <w:p w:rsidR="001C477C" w:rsidRDefault="0091368A" w:rsidP="001C477C">
            <w:pPr>
              <w:autoSpaceDE/>
              <w:autoSpaceDN/>
              <w:spacing w:line="240" w:lineRule="auto"/>
              <w:ind w:firstLine="0"/>
              <w:jc w:val="center"/>
              <w:rPr>
                <w:b/>
                <w:bCs/>
                <w:kern w:val="2"/>
                <w:szCs w:val="28"/>
              </w:rPr>
            </w:pPr>
            <w:r>
              <w:rPr>
                <w:b/>
                <w:bCs/>
                <w:kern w:val="2"/>
                <w:szCs w:val="28"/>
              </w:rPr>
              <w:t>（一）</w:t>
            </w:r>
          </w:p>
          <w:p w:rsidR="00A908CA" w:rsidRDefault="0091368A" w:rsidP="001C477C">
            <w:pPr>
              <w:autoSpaceDE/>
              <w:autoSpaceDN/>
              <w:spacing w:line="240" w:lineRule="auto"/>
              <w:ind w:firstLine="0"/>
              <w:jc w:val="center"/>
              <w:rPr>
                <w:b/>
                <w:bCs/>
                <w:kern w:val="2"/>
                <w:szCs w:val="28"/>
              </w:rPr>
            </w:pPr>
            <w:r>
              <w:rPr>
                <w:b/>
                <w:bCs/>
                <w:kern w:val="2"/>
                <w:szCs w:val="28"/>
              </w:rPr>
              <w:t>完善顶层设计</w:t>
            </w:r>
          </w:p>
        </w:tc>
        <w:tc>
          <w:tcPr>
            <w:tcW w:w="11618" w:type="dxa"/>
            <w:vAlign w:val="center"/>
          </w:tcPr>
          <w:p w:rsidR="00A908CA" w:rsidRDefault="0091368A" w:rsidP="001C477C">
            <w:pPr>
              <w:autoSpaceDE/>
              <w:autoSpaceDN/>
              <w:adjustRightInd w:val="0"/>
              <w:spacing w:line="240" w:lineRule="auto"/>
              <w:ind w:firstLine="0"/>
              <w:jc w:val="left"/>
              <w:rPr>
                <w:b/>
                <w:bCs/>
                <w:kern w:val="2"/>
                <w:sz w:val="28"/>
                <w:szCs w:val="30"/>
              </w:rPr>
            </w:pPr>
            <w:r>
              <w:rPr>
                <w:b/>
                <w:bCs/>
                <w:kern w:val="2"/>
                <w:sz w:val="28"/>
                <w:szCs w:val="30"/>
              </w:rPr>
              <w:t>1.</w:t>
            </w:r>
            <w:r>
              <w:rPr>
                <w:b/>
                <w:bCs/>
                <w:kern w:val="2"/>
                <w:sz w:val="28"/>
                <w:szCs w:val="30"/>
              </w:rPr>
              <w:t>强化部门联动。</w:t>
            </w:r>
          </w:p>
          <w:p w:rsidR="00A908CA" w:rsidRDefault="0091368A" w:rsidP="001C477C">
            <w:pPr>
              <w:tabs>
                <w:tab w:val="left" w:pos="312"/>
              </w:tabs>
              <w:autoSpaceDE/>
              <w:autoSpaceDN/>
              <w:adjustRightInd w:val="0"/>
              <w:spacing w:line="240" w:lineRule="auto"/>
              <w:ind w:firstLineChars="200" w:firstLine="552"/>
              <w:jc w:val="left"/>
              <w:rPr>
                <w:sz w:val="28"/>
                <w:szCs w:val="30"/>
                <w:lang w:bidi="ar"/>
              </w:rPr>
            </w:pPr>
            <w:r>
              <w:rPr>
                <w:b/>
                <w:sz w:val="28"/>
                <w:szCs w:val="30"/>
                <w:lang w:bidi="ar"/>
              </w:rPr>
              <w:t>南京市</w:t>
            </w:r>
            <w:r>
              <w:rPr>
                <w:sz w:val="28"/>
                <w:szCs w:val="30"/>
                <w:lang w:bidi="ar"/>
              </w:rPr>
              <w:t>多部门联合印发《关于加强南京市政府投资大型公共建筑绿色建筑管理工作的通知》，落实政府投资大型公共建筑按二星级以上标准进行规划、设计和建设的相关要求。</w:t>
            </w:r>
          </w:p>
          <w:p w:rsidR="00A908CA" w:rsidRDefault="0091368A" w:rsidP="001C477C">
            <w:pPr>
              <w:autoSpaceDE/>
              <w:autoSpaceDN/>
              <w:adjustRightInd w:val="0"/>
              <w:spacing w:line="240" w:lineRule="auto"/>
              <w:ind w:firstLineChars="200" w:firstLine="552"/>
              <w:jc w:val="left"/>
              <w:rPr>
                <w:sz w:val="28"/>
                <w:szCs w:val="30"/>
                <w:lang w:bidi="ar"/>
              </w:rPr>
            </w:pPr>
            <w:r>
              <w:rPr>
                <w:b/>
                <w:bCs/>
                <w:kern w:val="2"/>
                <w:sz w:val="28"/>
                <w:szCs w:val="30"/>
              </w:rPr>
              <w:t>苏州市</w:t>
            </w:r>
            <w:r>
              <w:rPr>
                <w:kern w:val="2"/>
                <w:sz w:val="28"/>
                <w:szCs w:val="30"/>
              </w:rPr>
              <w:t>建立</w:t>
            </w:r>
            <w:r>
              <w:rPr>
                <w:sz w:val="28"/>
                <w:szCs w:val="30"/>
                <w:lang w:bidi="ar"/>
              </w:rPr>
              <w:t>跨部门协同、市区联动工作机制，以建设安全舒适绿色智慧</w:t>
            </w:r>
            <w:r>
              <w:rPr>
                <w:sz w:val="28"/>
                <w:szCs w:val="30"/>
                <w:lang w:bidi="ar"/>
              </w:rPr>
              <w:t>“</w:t>
            </w:r>
            <w:r>
              <w:rPr>
                <w:sz w:val="28"/>
                <w:szCs w:val="30"/>
                <w:lang w:bidi="ar"/>
              </w:rPr>
              <w:t>好房子</w:t>
            </w:r>
            <w:r>
              <w:rPr>
                <w:sz w:val="28"/>
                <w:szCs w:val="30"/>
                <w:lang w:bidi="ar"/>
              </w:rPr>
              <w:t>”</w:t>
            </w:r>
            <w:r>
              <w:rPr>
                <w:sz w:val="28"/>
                <w:szCs w:val="30"/>
                <w:lang w:bidi="ar"/>
              </w:rPr>
              <w:t>为主线，以建设高品质绿色建筑为载体，促进绿色建筑与苏州</w:t>
            </w:r>
            <w:r>
              <w:rPr>
                <w:sz w:val="28"/>
                <w:szCs w:val="30"/>
                <w:lang w:bidi="ar"/>
              </w:rPr>
              <w:t>“1030”</w:t>
            </w:r>
            <w:r>
              <w:rPr>
                <w:sz w:val="28"/>
                <w:szCs w:val="30"/>
                <w:lang w:bidi="ar"/>
              </w:rPr>
              <w:t>产业体系协同发展。</w:t>
            </w:r>
          </w:p>
          <w:p w:rsidR="00A908CA" w:rsidRDefault="0091368A" w:rsidP="001C477C">
            <w:pPr>
              <w:autoSpaceDE/>
              <w:autoSpaceDN/>
              <w:adjustRightInd w:val="0"/>
              <w:spacing w:line="240" w:lineRule="auto"/>
              <w:ind w:firstLineChars="200" w:firstLine="552"/>
              <w:jc w:val="left"/>
              <w:rPr>
                <w:bCs/>
                <w:kern w:val="2"/>
                <w:sz w:val="30"/>
                <w:szCs w:val="30"/>
              </w:rPr>
            </w:pPr>
            <w:r>
              <w:rPr>
                <w:b/>
                <w:sz w:val="28"/>
                <w:szCs w:val="30"/>
                <w:lang w:bidi="ar"/>
              </w:rPr>
              <w:t>连云港市</w:t>
            </w:r>
            <w:r>
              <w:rPr>
                <w:sz w:val="28"/>
                <w:szCs w:val="30"/>
                <w:lang w:bidi="ar"/>
              </w:rPr>
              <w:t>多部门联合推动公共机构节能工作，</w:t>
            </w:r>
            <w:r>
              <w:rPr>
                <w:kern w:val="2"/>
                <w:sz w:val="28"/>
                <w:szCs w:val="30"/>
              </w:rPr>
              <w:t>积极推广合同能源管理模式以吸引市场化力量参与，推进既有建筑的绿色化改造工程，提升建筑能效水平。</w:t>
            </w:r>
          </w:p>
        </w:tc>
      </w:tr>
      <w:tr w:rsidR="00A908CA" w:rsidTr="001C477C">
        <w:trPr>
          <w:jc w:val="center"/>
        </w:trPr>
        <w:tc>
          <w:tcPr>
            <w:tcW w:w="709" w:type="dxa"/>
            <w:vMerge/>
            <w:vAlign w:val="center"/>
          </w:tcPr>
          <w:p w:rsidR="00A908CA" w:rsidRDefault="00A908CA" w:rsidP="001C477C">
            <w:pPr>
              <w:autoSpaceDE/>
              <w:autoSpaceDN/>
              <w:spacing w:line="240" w:lineRule="auto"/>
              <w:ind w:firstLine="0"/>
              <w:jc w:val="center"/>
              <w:rPr>
                <w:bCs/>
                <w:kern w:val="2"/>
                <w:sz w:val="28"/>
                <w:szCs w:val="28"/>
              </w:rPr>
            </w:pPr>
          </w:p>
        </w:tc>
        <w:tc>
          <w:tcPr>
            <w:tcW w:w="1156" w:type="dxa"/>
            <w:vMerge/>
            <w:vAlign w:val="center"/>
          </w:tcPr>
          <w:p w:rsidR="00A908CA" w:rsidRDefault="00A908CA" w:rsidP="001C477C">
            <w:pPr>
              <w:autoSpaceDE/>
              <w:autoSpaceDN/>
              <w:spacing w:line="240" w:lineRule="auto"/>
              <w:ind w:firstLine="0"/>
              <w:jc w:val="center"/>
              <w:rPr>
                <w:bCs/>
                <w:kern w:val="2"/>
                <w:sz w:val="28"/>
                <w:szCs w:val="28"/>
              </w:rPr>
            </w:pPr>
          </w:p>
        </w:tc>
        <w:tc>
          <w:tcPr>
            <w:tcW w:w="1455" w:type="dxa"/>
            <w:vMerge/>
            <w:vAlign w:val="center"/>
          </w:tcPr>
          <w:p w:rsidR="00A908CA" w:rsidRDefault="00A908CA" w:rsidP="001C477C">
            <w:pPr>
              <w:autoSpaceDE/>
              <w:autoSpaceDN/>
              <w:spacing w:line="240" w:lineRule="auto"/>
              <w:ind w:firstLine="0"/>
              <w:jc w:val="center"/>
              <w:rPr>
                <w:bCs/>
                <w:kern w:val="2"/>
                <w:sz w:val="28"/>
                <w:szCs w:val="28"/>
              </w:rPr>
            </w:pPr>
          </w:p>
        </w:tc>
        <w:tc>
          <w:tcPr>
            <w:tcW w:w="11618" w:type="dxa"/>
            <w:vAlign w:val="center"/>
          </w:tcPr>
          <w:p w:rsidR="00A908CA" w:rsidRDefault="0091368A" w:rsidP="001C477C">
            <w:pPr>
              <w:autoSpaceDE/>
              <w:autoSpaceDN/>
              <w:adjustRightInd w:val="0"/>
              <w:spacing w:line="240" w:lineRule="auto"/>
              <w:ind w:firstLine="0"/>
              <w:jc w:val="left"/>
              <w:rPr>
                <w:b/>
                <w:bCs/>
                <w:kern w:val="2"/>
                <w:sz w:val="28"/>
                <w:szCs w:val="30"/>
              </w:rPr>
            </w:pPr>
            <w:r>
              <w:rPr>
                <w:b/>
                <w:bCs/>
                <w:kern w:val="2"/>
                <w:sz w:val="28"/>
                <w:szCs w:val="30"/>
              </w:rPr>
              <w:t>2.</w:t>
            </w:r>
            <w:r>
              <w:rPr>
                <w:b/>
                <w:bCs/>
                <w:kern w:val="2"/>
                <w:sz w:val="28"/>
                <w:szCs w:val="30"/>
              </w:rPr>
              <w:t>明确规划引领。</w:t>
            </w:r>
          </w:p>
          <w:p w:rsidR="00A908CA" w:rsidRDefault="0091368A" w:rsidP="001C477C">
            <w:pPr>
              <w:autoSpaceDE/>
              <w:autoSpaceDN/>
              <w:adjustRightInd w:val="0"/>
              <w:spacing w:line="240" w:lineRule="auto"/>
              <w:ind w:firstLineChars="200" w:firstLine="552"/>
              <w:jc w:val="left"/>
              <w:rPr>
                <w:bCs/>
                <w:kern w:val="2"/>
                <w:sz w:val="28"/>
                <w:szCs w:val="30"/>
              </w:rPr>
            </w:pPr>
            <w:r>
              <w:rPr>
                <w:b/>
                <w:sz w:val="28"/>
                <w:szCs w:val="30"/>
                <w:lang w:bidi="ar"/>
              </w:rPr>
              <w:t>连云港市</w:t>
            </w:r>
            <w:r>
              <w:rPr>
                <w:bCs/>
                <w:kern w:val="2"/>
                <w:sz w:val="28"/>
                <w:szCs w:val="30"/>
              </w:rPr>
              <w:t>明确在规划条件中增加关于装配式建筑、绿色建筑的具体配建指标问题，印发《关于进一步明确绿色建筑和装配式建筑配建要求的通知》，统一规划设计及报建审批要求，引导市场主体推行绿色设计，全力推进建筑领域</w:t>
            </w:r>
            <w:proofErr w:type="gramStart"/>
            <w:r>
              <w:rPr>
                <w:bCs/>
                <w:kern w:val="2"/>
                <w:sz w:val="28"/>
                <w:szCs w:val="30"/>
              </w:rPr>
              <w:t>节能降碳建设</w:t>
            </w:r>
            <w:proofErr w:type="gramEnd"/>
            <w:r>
              <w:rPr>
                <w:bCs/>
                <w:kern w:val="2"/>
                <w:sz w:val="28"/>
                <w:szCs w:val="30"/>
              </w:rPr>
              <w:t>。</w:t>
            </w:r>
          </w:p>
        </w:tc>
      </w:tr>
      <w:tr w:rsidR="00A908CA" w:rsidTr="001C477C">
        <w:trPr>
          <w:jc w:val="center"/>
        </w:trPr>
        <w:tc>
          <w:tcPr>
            <w:tcW w:w="709" w:type="dxa"/>
            <w:vMerge/>
            <w:vAlign w:val="center"/>
          </w:tcPr>
          <w:p w:rsidR="00A908CA" w:rsidRDefault="00A908CA" w:rsidP="001C477C">
            <w:pPr>
              <w:autoSpaceDE/>
              <w:autoSpaceDN/>
              <w:spacing w:line="240" w:lineRule="auto"/>
              <w:ind w:firstLine="0"/>
              <w:jc w:val="center"/>
              <w:rPr>
                <w:bCs/>
                <w:kern w:val="2"/>
                <w:sz w:val="28"/>
                <w:szCs w:val="28"/>
              </w:rPr>
            </w:pPr>
          </w:p>
        </w:tc>
        <w:tc>
          <w:tcPr>
            <w:tcW w:w="1156" w:type="dxa"/>
            <w:vMerge/>
            <w:vAlign w:val="center"/>
          </w:tcPr>
          <w:p w:rsidR="00A908CA" w:rsidRDefault="00A908CA" w:rsidP="001C477C">
            <w:pPr>
              <w:autoSpaceDE/>
              <w:autoSpaceDN/>
              <w:spacing w:line="240" w:lineRule="auto"/>
              <w:ind w:firstLine="0"/>
              <w:jc w:val="center"/>
              <w:rPr>
                <w:bCs/>
                <w:kern w:val="2"/>
                <w:sz w:val="28"/>
                <w:szCs w:val="28"/>
              </w:rPr>
            </w:pPr>
          </w:p>
        </w:tc>
        <w:tc>
          <w:tcPr>
            <w:tcW w:w="1455" w:type="dxa"/>
            <w:vMerge/>
            <w:vAlign w:val="center"/>
          </w:tcPr>
          <w:p w:rsidR="00A908CA" w:rsidRDefault="00A908CA" w:rsidP="001C477C">
            <w:pPr>
              <w:autoSpaceDE/>
              <w:autoSpaceDN/>
              <w:spacing w:line="240" w:lineRule="auto"/>
              <w:ind w:firstLine="0"/>
              <w:jc w:val="center"/>
              <w:rPr>
                <w:bCs/>
                <w:kern w:val="2"/>
                <w:sz w:val="28"/>
                <w:szCs w:val="28"/>
              </w:rPr>
            </w:pPr>
          </w:p>
        </w:tc>
        <w:tc>
          <w:tcPr>
            <w:tcW w:w="11618" w:type="dxa"/>
            <w:vAlign w:val="center"/>
          </w:tcPr>
          <w:p w:rsidR="00A908CA" w:rsidRDefault="0091368A" w:rsidP="001C477C">
            <w:pPr>
              <w:autoSpaceDE/>
              <w:autoSpaceDN/>
              <w:adjustRightInd w:val="0"/>
              <w:spacing w:line="240" w:lineRule="auto"/>
              <w:ind w:firstLine="0"/>
              <w:jc w:val="left"/>
              <w:rPr>
                <w:b/>
                <w:bCs/>
                <w:kern w:val="2"/>
                <w:sz w:val="28"/>
                <w:szCs w:val="30"/>
              </w:rPr>
            </w:pPr>
            <w:r>
              <w:rPr>
                <w:b/>
                <w:bCs/>
                <w:kern w:val="2"/>
                <w:sz w:val="28"/>
                <w:szCs w:val="30"/>
              </w:rPr>
              <w:t>3.</w:t>
            </w:r>
            <w:r>
              <w:rPr>
                <w:b/>
                <w:bCs/>
                <w:kern w:val="2"/>
                <w:sz w:val="28"/>
                <w:szCs w:val="30"/>
              </w:rPr>
              <w:t>健全管理机制。</w:t>
            </w:r>
          </w:p>
          <w:p w:rsidR="00A908CA" w:rsidRDefault="0091368A" w:rsidP="001C477C">
            <w:pPr>
              <w:autoSpaceDE/>
              <w:autoSpaceDN/>
              <w:adjustRightInd w:val="0"/>
              <w:spacing w:line="240" w:lineRule="auto"/>
              <w:ind w:firstLineChars="200" w:firstLine="552"/>
              <w:jc w:val="left"/>
              <w:rPr>
                <w:bCs/>
                <w:kern w:val="2"/>
                <w:sz w:val="28"/>
                <w:szCs w:val="30"/>
              </w:rPr>
            </w:pPr>
            <w:bookmarkStart w:id="1" w:name="OLE_LINK1"/>
            <w:r>
              <w:rPr>
                <w:b/>
                <w:sz w:val="28"/>
                <w:szCs w:val="30"/>
                <w:lang w:bidi="ar"/>
              </w:rPr>
              <w:t>无锡</w:t>
            </w:r>
            <w:proofErr w:type="gramStart"/>
            <w:r>
              <w:rPr>
                <w:b/>
                <w:sz w:val="28"/>
                <w:szCs w:val="30"/>
                <w:lang w:bidi="ar"/>
              </w:rPr>
              <w:t>市</w:t>
            </w:r>
            <w:r>
              <w:rPr>
                <w:bCs/>
                <w:kern w:val="2"/>
                <w:sz w:val="28"/>
                <w:szCs w:val="30"/>
              </w:rPr>
              <w:t>推动将</w:t>
            </w:r>
            <w:proofErr w:type="gramEnd"/>
            <w:r>
              <w:rPr>
                <w:bCs/>
                <w:kern w:val="2"/>
                <w:sz w:val="28"/>
                <w:szCs w:val="30"/>
              </w:rPr>
              <w:t>《无锡市绿色建筑管理办法》列入市政府规章立项计划，对新建民用建筑绿</w:t>
            </w:r>
            <w:r>
              <w:rPr>
                <w:bCs/>
                <w:kern w:val="2"/>
                <w:sz w:val="28"/>
                <w:szCs w:val="30"/>
              </w:rPr>
              <w:lastRenderedPageBreak/>
              <w:t>色低碳建设实施全过程管控，明确规划、设计、施工、验收、运行各环节管理要求，为全市绿色建筑量</w:t>
            </w:r>
            <w:proofErr w:type="gramStart"/>
            <w:r>
              <w:rPr>
                <w:bCs/>
                <w:kern w:val="2"/>
                <w:sz w:val="28"/>
                <w:szCs w:val="30"/>
              </w:rPr>
              <w:t>质双升</w:t>
            </w:r>
            <w:proofErr w:type="gramEnd"/>
            <w:r>
              <w:rPr>
                <w:bCs/>
                <w:kern w:val="2"/>
                <w:sz w:val="28"/>
                <w:szCs w:val="30"/>
              </w:rPr>
              <w:t>提供制度支撑。</w:t>
            </w:r>
            <w:bookmarkEnd w:id="1"/>
          </w:p>
          <w:p w:rsidR="00A908CA" w:rsidRDefault="0091368A" w:rsidP="001C477C">
            <w:pPr>
              <w:autoSpaceDE/>
              <w:autoSpaceDN/>
              <w:adjustRightInd w:val="0"/>
              <w:spacing w:line="240" w:lineRule="auto"/>
              <w:ind w:firstLineChars="200" w:firstLine="552"/>
              <w:jc w:val="left"/>
              <w:rPr>
                <w:bCs/>
                <w:kern w:val="2"/>
                <w:sz w:val="28"/>
                <w:szCs w:val="30"/>
              </w:rPr>
            </w:pPr>
            <w:r>
              <w:rPr>
                <w:b/>
                <w:sz w:val="28"/>
                <w:szCs w:val="30"/>
                <w:lang w:bidi="ar"/>
              </w:rPr>
              <w:t>徐州市</w:t>
            </w:r>
            <w:r>
              <w:rPr>
                <w:bCs/>
                <w:kern w:val="2"/>
                <w:sz w:val="28"/>
                <w:szCs w:val="30"/>
              </w:rPr>
              <w:t>创新构建</w:t>
            </w:r>
            <w:r>
              <w:rPr>
                <w:bCs/>
                <w:kern w:val="2"/>
                <w:sz w:val="28"/>
                <w:szCs w:val="30"/>
              </w:rPr>
              <w:t>“</w:t>
            </w:r>
            <w:r>
              <w:rPr>
                <w:bCs/>
                <w:kern w:val="2"/>
                <w:sz w:val="28"/>
                <w:szCs w:val="30"/>
              </w:rPr>
              <w:t>绿色建筑需求牵引</w:t>
            </w:r>
            <w:r>
              <w:rPr>
                <w:bCs/>
                <w:kern w:val="2"/>
                <w:sz w:val="28"/>
                <w:szCs w:val="30"/>
              </w:rPr>
              <w:t>-</w:t>
            </w:r>
            <w:r>
              <w:rPr>
                <w:bCs/>
                <w:kern w:val="2"/>
                <w:sz w:val="28"/>
                <w:szCs w:val="30"/>
              </w:rPr>
              <w:t>绿色建材产业升级</w:t>
            </w:r>
            <w:r>
              <w:rPr>
                <w:bCs/>
                <w:kern w:val="2"/>
                <w:sz w:val="28"/>
                <w:szCs w:val="30"/>
              </w:rPr>
              <w:t>-</w:t>
            </w:r>
            <w:r>
              <w:rPr>
                <w:bCs/>
                <w:kern w:val="2"/>
                <w:sz w:val="28"/>
                <w:szCs w:val="30"/>
              </w:rPr>
              <w:t>工业固废消纳支撑</w:t>
            </w:r>
            <w:r>
              <w:rPr>
                <w:bCs/>
                <w:kern w:val="2"/>
                <w:sz w:val="28"/>
                <w:szCs w:val="30"/>
              </w:rPr>
              <w:t>”</w:t>
            </w:r>
            <w:r>
              <w:rPr>
                <w:bCs/>
                <w:kern w:val="2"/>
                <w:sz w:val="28"/>
                <w:szCs w:val="30"/>
              </w:rPr>
              <w:t>的全</w:t>
            </w:r>
            <w:proofErr w:type="gramStart"/>
            <w:r>
              <w:rPr>
                <w:bCs/>
                <w:kern w:val="2"/>
                <w:sz w:val="28"/>
                <w:szCs w:val="30"/>
              </w:rPr>
              <w:t>链条降碳模式</w:t>
            </w:r>
            <w:proofErr w:type="gramEnd"/>
            <w:r>
              <w:rPr>
                <w:bCs/>
                <w:kern w:val="2"/>
                <w:sz w:val="28"/>
                <w:szCs w:val="30"/>
              </w:rPr>
              <w:t>，依托本地建材产业基础与固废资源优势，推动</w:t>
            </w:r>
            <w:proofErr w:type="gramStart"/>
            <w:r>
              <w:rPr>
                <w:bCs/>
                <w:kern w:val="2"/>
                <w:sz w:val="28"/>
                <w:szCs w:val="30"/>
              </w:rPr>
              <w:t>建筑降碳与</w:t>
            </w:r>
            <w:proofErr w:type="gramEnd"/>
            <w:r>
              <w:rPr>
                <w:bCs/>
                <w:kern w:val="2"/>
                <w:sz w:val="28"/>
                <w:szCs w:val="30"/>
              </w:rPr>
              <w:t>产业转型深度融合，形成资源型城市</w:t>
            </w:r>
            <w:proofErr w:type="gramStart"/>
            <w:r>
              <w:rPr>
                <w:bCs/>
                <w:kern w:val="2"/>
                <w:sz w:val="28"/>
                <w:szCs w:val="30"/>
              </w:rPr>
              <w:t>建筑节能降碳的</w:t>
            </w:r>
            <w:proofErr w:type="gramEnd"/>
            <w:r>
              <w:rPr>
                <w:bCs/>
                <w:kern w:val="2"/>
                <w:sz w:val="28"/>
                <w:szCs w:val="30"/>
              </w:rPr>
              <w:t>特色路径。</w:t>
            </w:r>
          </w:p>
          <w:p w:rsidR="00A908CA" w:rsidRDefault="0091368A" w:rsidP="001C477C">
            <w:pPr>
              <w:autoSpaceDE/>
              <w:autoSpaceDN/>
              <w:adjustRightInd w:val="0"/>
              <w:spacing w:line="240" w:lineRule="auto"/>
              <w:ind w:firstLineChars="200" w:firstLine="552"/>
              <w:jc w:val="left"/>
              <w:rPr>
                <w:bCs/>
                <w:kern w:val="2"/>
                <w:sz w:val="28"/>
                <w:szCs w:val="30"/>
              </w:rPr>
            </w:pPr>
            <w:r>
              <w:rPr>
                <w:b/>
                <w:sz w:val="28"/>
                <w:szCs w:val="30"/>
                <w:lang w:bidi="ar"/>
              </w:rPr>
              <w:t>镇江市</w:t>
            </w:r>
            <w:r>
              <w:rPr>
                <w:bCs/>
                <w:kern w:val="2"/>
                <w:sz w:val="28"/>
                <w:szCs w:val="30"/>
              </w:rPr>
              <w:t>委托第三</w:t>
            </w:r>
            <w:proofErr w:type="gramStart"/>
            <w:r>
              <w:rPr>
                <w:bCs/>
                <w:kern w:val="2"/>
                <w:sz w:val="28"/>
                <w:szCs w:val="30"/>
              </w:rPr>
              <w:t>方服务</w:t>
            </w:r>
            <w:proofErr w:type="gramEnd"/>
            <w:r>
              <w:rPr>
                <w:bCs/>
                <w:kern w:val="2"/>
                <w:sz w:val="28"/>
                <w:szCs w:val="30"/>
              </w:rPr>
              <w:t>机构，对项目绿色建筑、装配式技术措施的落地执行情况开展独立、客观跟踪服务指导，形成</w:t>
            </w:r>
            <w:r>
              <w:rPr>
                <w:bCs/>
                <w:kern w:val="2"/>
                <w:sz w:val="28"/>
                <w:szCs w:val="30"/>
              </w:rPr>
              <w:t>“</w:t>
            </w:r>
            <w:r>
              <w:rPr>
                <w:bCs/>
                <w:kern w:val="2"/>
                <w:sz w:val="28"/>
                <w:szCs w:val="30"/>
              </w:rPr>
              <w:t>实施</w:t>
            </w:r>
            <w:r>
              <w:rPr>
                <w:bCs/>
                <w:kern w:val="2"/>
                <w:sz w:val="28"/>
                <w:szCs w:val="30"/>
              </w:rPr>
              <w:t>-</w:t>
            </w:r>
            <w:r>
              <w:rPr>
                <w:bCs/>
                <w:kern w:val="2"/>
                <w:sz w:val="28"/>
                <w:szCs w:val="30"/>
              </w:rPr>
              <w:t>评估</w:t>
            </w:r>
            <w:r>
              <w:rPr>
                <w:bCs/>
                <w:kern w:val="2"/>
                <w:sz w:val="28"/>
                <w:szCs w:val="30"/>
              </w:rPr>
              <w:t>-</w:t>
            </w:r>
            <w:r>
              <w:rPr>
                <w:bCs/>
                <w:kern w:val="2"/>
                <w:sz w:val="28"/>
                <w:szCs w:val="30"/>
              </w:rPr>
              <w:t>验收</w:t>
            </w:r>
            <w:r>
              <w:rPr>
                <w:bCs/>
                <w:kern w:val="2"/>
                <w:sz w:val="28"/>
                <w:szCs w:val="30"/>
              </w:rPr>
              <w:t>”</w:t>
            </w:r>
            <w:r>
              <w:rPr>
                <w:bCs/>
                <w:kern w:val="2"/>
                <w:sz w:val="28"/>
                <w:szCs w:val="30"/>
              </w:rPr>
              <w:t>的闭环管控，有效保障了项目技术指标的全面实现。</w:t>
            </w:r>
          </w:p>
        </w:tc>
      </w:tr>
      <w:tr w:rsidR="00A908CA" w:rsidTr="001C477C">
        <w:trPr>
          <w:jc w:val="center"/>
        </w:trPr>
        <w:tc>
          <w:tcPr>
            <w:tcW w:w="709" w:type="dxa"/>
            <w:vMerge/>
            <w:vAlign w:val="center"/>
          </w:tcPr>
          <w:p w:rsidR="00A908CA" w:rsidRDefault="00A908CA" w:rsidP="001C477C">
            <w:pPr>
              <w:autoSpaceDE/>
              <w:autoSpaceDN/>
              <w:spacing w:line="240" w:lineRule="auto"/>
              <w:ind w:firstLine="0"/>
              <w:jc w:val="center"/>
              <w:rPr>
                <w:bCs/>
                <w:kern w:val="2"/>
                <w:sz w:val="28"/>
                <w:szCs w:val="28"/>
              </w:rPr>
            </w:pPr>
          </w:p>
        </w:tc>
        <w:tc>
          <w:tcPr>
            <w:tcW w:w="1156" w:type="dxa"/>
            <w:vMerge/>
            <w:vAlign w:val="center"/>
          </w:tcPr>
          <w:p w:rsidR="00A908CA" w:rsidRDefault="00A908CA" w:rsidP="001C477C">
            <w:pPr>
              <w:autoSpaceDE/>
              <w:autoSpaceDN/>
              <w:spacing w:line="240" w:lineRule="auto"/>
              <w:ind w:firstLine="0"/>
              <w:jc w:val="center"/>
              <w:rPr>
                <w:bCs/>
                <w:kern w:val="2"/>
                <w:sz w:val="28"/>
                <w:szCs w:val="28"/>
              </w:rPr>
            </w:pPr>
          </w:p>
        </w:tc>
        <w:tc>
          <w:tcPr>
            <w:tcW w:w="1455" w:type="dxa"/>
            <w:vMerge w:val="restart"/>
            <w:vAlign w:val="center"/>
          </w:tcPr>
          <w:p w:rsidR="00A908CA" w:rsidRDefault="0091368A" w:rsidP="001C477C">
            <w:pPr>
              <w:autoSpaceDE/>
              <w:autoSpaceDN/>
              <w:spacing w:line="240" w:lineRule="auto"/>
              <w:ind w:firstLine="0"/>
              <w:jc w:val="center"/>
              <w:rPr>
                <w:bCs/>
                <w:kern w:val="2"/>
                <w:sz w:val="28"/>
                <w:szCs w:val="28"/>
              </w:rPr>
            </w:pPr>
            <w:r>
              <w:rPr>
                <w:b/>
                <w:bCs/>
                <w:kern w:val="2"/>
                <w:szCs w:val="28"/>
              </w:rPr>
              <w:t>（二）强化政策激励</w:t>
            </w:r>
          </w:p>
        </w:tc>
        <w:tc>
          <w:tcPr>
            <w:tcW w:w="11618" w:type="dxa"/>
            <w:vAlign w:val="center"/>
          </w:tcPr>
          <w:p w:rsidR="00A908CA" w:rsidRDefault="0091368A" w:rsidP="001C477C">
            <w:pPr>
              <w:autoSpaceDE/>
              <w:autoSpaceDN/>
              <w:adjustRightInd w:val="0"/>
              <w:spacing w:line="240" w:lineRule="auto"/>
              <w:ind w:firstLine="0"/>
              <w:jc w:val="left"/>
              <w:rPr>
                <w:b/>
                <w:bCs/>
                <w:kern w:val="2"/>
                <w:sz w:val="28"/>
                <w:szCs w:val="30"/>
              </w:rPr>
            </w:pPr>
            <w:r>
              <w:rPr>
                <w:b/>
                <w:bCs/>
                <w:kern w:val="2"/>
                <w:sz w:val="28"/>
                <w:szCs w:val="30"/>
              </w:rPr>
              <w:t>1.</w:t>
            </w:r>
            <w:r>
              <w:rPr>
                <w:b/>
                <w:bCs/>
                <w:kern w:val="2"/>
                <w:sz w:val="28"/>
                <w:szCs w:val="30"/>
              </w:rPr>
              <w:t>推动政策制定。</w:t>
            </w:r>
          </w:p>
          <w:p w:rsidR="00A908CA" w:rsidRDefault="0091368A" w:rsidP="001C477C">
            <w:pPr>
              <w:autoSpaceDE/>
              <w:autoSpaceDN/>
              <w:adjustRightInd w:val="0"/>
              <w:spacing w:line="240" w:lineRule="auto"/>
              <w:ind w:firstLineChars="200" w:firstLine="552"/>
              <w:jc w:val="left"/>
              <w:rPr>
                <w:bCs/>
                <w:kern w:val="2"/>
                <w:sz w:val="28"/>
                <w:szCs w:val="30"/>
              </w:rPr>
            </w:pPr>
            <w:bookmarkStart w:id="2" w:name="OLE_LINK4"/>
            <w:bookmarkStart w:id="3" w:name="OLE_LINK5"/>
            <w:r>
              <w:rPr>
                <w:b/>
                <w:bCs/>
                <w:kern w:val="2"/>
                <w:sz w:val="28"/>
                <w:szCs w:val="30"/>
              </w:rPr>
              <w:t>南京、无锡、盐城市</w:t>
            </w:r>
            <w:bookmarkStart w:id="4" w:name="OLE_LINK2"/>
            <w:bookmarkStart w:id="5" w:name="OLE_LINK3"/>
            <w:r>
              <w:rPr>
                <w:bCs/>
                <w:kern w:val="2"/>
                <w:sz w:val="28"/>
                <w:szCs w:val="30"/>
              </w:rPr>
              <w:t>制定城乡建</w:t>
            </w:r>
            <w:bookmarkEnd w:id="4"/>
            <w:bookmarkEnd w:id="5"/>
            <w:r>
              <w:rPr>
                <w:bCs/>
                <w:kern w:val="2"/>
                <w:sz w:val="28"/>
                <w:szCs w:val="30"/>
              </w:rPr>
              <w:t>设领域</w:t>
            </w:r>
            <w:proofErr w:type="gramStart"/>
            <w:r>
              <w:rPr>
                <w:bCs/>
                <w:kern w:val="2"/>
                <w:sz w:val="28"/>
                <w:szCs w:val="30"/>
              </w:rPr>
              <w:t>碳达峰实施</w:t>
            </w:r>
            <w:proofErr w:type="gramEnd"/>
            <w:r>
              <w:rPr>
                <w:bCs/>
                <w:kern w:val="2"/>
                <w:sz w:val="28"/>
                <w:szCs w:val="30"/>
              </w:rPr>
              <w:t>方案</w:t>
            </w:r>
            <w:bookmarkEnd w:id="2"/>
            <w:bookmarkEnd w:id="3"/>
            <w:r>
              <w:rPr>
                <w:bCs/>
                <w:kern w:val="2"/>
                <w:sz w:val="28"/>
                <w:szCs w:val="30"/>
              </w:rPr>
              <w:t>，</w:t>
            </w:r>
            <w:r>
              <w:rPr>
                <w:b/>
                <w:bCs/>
                <w:kern w:val="2"/>
                <w:sz w:val="28"/>
                <w:szCs w:val="30"/>
              </w:rPr>
              <w:t>扬州市</w:t>
            </w:r>
            <w:r>
              <w:rPr>
                <w:bCs/>
                <w:kern w:val="2"/>
                <w:sz w:val="28"/>
                <w:szCs w:val="30"/>
              </w:rPr>
              <w:t>制定《扬州市加快经济社会发展全面绿色转型实施方案》，推动城乡建设领域绿色低碳发展。</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苏州市</w:t>
            </w:r>
            <w:r>
              <w:rPr>
                <w:bCs/>
                <w:kern w:val="2"/>
                <w:sz w:val="28"/>
                <w:szCs w:val="30"/>
              </w:rPr>
              <w:t>制定《苏州市培育绿色建筑新增长点实施方案》，明确至</w:t>
            </w:r>
            <w:r>
              <w:rPr>
                <w:bCs/>
                <w:kern w:val="2"/>
                <w:sz w:val="28"/>
                <w:szCs w:val="30"/>
              </w:rPr>
              <w:t>2028</w:t>
            </w:r>
            <w:r>
              <w:rPr>
                <w:bCs/>
                <w:kern w:val="2"/>
                <w:sz w:val="28"/>
                <w:szCs w:val="30"/>
              </w:rPr>
              <w:t>年</w:t>
            </w:r>
            <w:r>
              <w:rPr>
                <w:bCs/>
                <w:kern w:val="2"/>
                <w:sz w:val="28"/>
                <w:szCs w:val="30"/>
              </w:rPr>
              <w:t>“</w:t>
            </w:r>
            <w:r>
              <w:rPr>
                <w:bCs/>
                <w:kern w:val="2"/>
                <w:sz w:val="28"/>
                <w:szCs w:val="30"/>
              </w:rPr>
              <w:t>一套政策体系、一条完整产业链、</w:t>
            </w:r>
            <w:r>
              <w:rPr>
                <w:bCs/>
                <w:kern w:val="2"/>
                <w:sz w:val="28"/>
                <w:szCs w:val="30"/>
              </w:rPr>
              <w:t>N</w:t>
            </w:r>
            <w:r>
              <w:rPr>
                <w:bCs/>
                <w:kern w:val="2"/>
                <w:sz w:val="28"/>
                <w:szCs w:val="30"/>
              </w:rPr>
              <w:t>家创新企业</w:t>
            </w:r>
            <w:r>
              <w:rPr>
                <w:bCs/>
                <w:kern w:val="2"/>
                <w:sz w:val="28"/>
                <w:szCs w:val="30"/>
              </w:rPr>
              <w:t>”</w:t>
            </w:r>
            <w:r>
              <w:rPr>
                <w:bCs/>
                <w:kern w:val="2"/>
                <w:sz w:val="28"/>
                <w:szCs w:val="30"/>
              </w:rPr>
              <w:t>的发展目标，细化四大板块</w:t>
            </w:r>
            <w:r>
              <w:rPr>
                <w:bCs/>
                <w:kern w:val="2"/>
                <w:sz w:val="28"/>
                <w:szCs w:val="30"/>
              </w:rPr>
              <w:t>16</w:t>
            </w:r>
            <w:r>
              <w:rPr>
                <w:bCs/>
                <w:kern w:val="2"/>
                <w:sz w:val="28"/>
                <w:szCs w:val="30"/>
              </w:rPr>
              <w:t>项重点任务。</w:t>
            </w:r>
          </w:p>
        </w:tc>
      </w:tr>
      <w:tr w:rsidR="00A908CA" w:rsidTr="001C477C">
        <w:trPr>
          <w:jc w:val="center"/>
        </w:trPr>
        <w:tc>
          <w:tcPr>
            <w:tcW w:w="709" w:type="dxa"/>
            <w:vMerge/>
            <w:vAlign w:val="center"/>
          </w:tcPr>
          <w:p w:rsidR="00A908CA" w:rsidRDefault="00A908CA" w:rsidP="001C477C">
            <w:pPr>
              <w:autoSpaceDE/>
              <w:autoSpaceDN/>
              <w:spacing w:line="240" w:lineRule="auto"/>
              <w:ind w:firstLine="0"/>
              <w:jc w:val="center"/>
              <w:rPr>
                <w:bCs/>
                <w:kern w:val="2"/>
                <w:sz w:val="28"/>
                <w:szCs w:val="28"/>
              </w:rPr>
            </w:pPr>
          </w:p>
        </w:tc>
        <w:tc>
          <w:tcPr>
            <w:tcW w:w="1156" w:type="dxa"/>
            <w:vMerge/>
            <w:vAlign w:val="center"/>
          </w:tcPr>
          <w:p w:rsidR="00A908CA" w:rsidRDefault="00A908CA" w:rsidP="001C477C">
            <w:pPr>
              <w:autoSpaceDE/>
              <w:autoSpaceDN/>
              <w:spacing w:line="240" w:lineRule="auto"/>
              <w:ind w:firstLine="0"/>
              <w:jc w:val="center"/>
              <w:rPr>
                <w:bCs/>
                <w:kern w:val="2"/>
                <w:sz w:val="28"/>
                <w:szCs w:val="28"/>
              </w:rPr>
            </w:pPr>
          </w:p>
        </w:tc>
        <w:tc>
          <w:tcPr>
            <w:tcW w:w="1455" w:type="dxa"/>
            <w:vMerge/>
            <w:vAlign w:val="center"/>
          </w:tcPr>
          <w:p w:rsidR="00A908CA" w:rsidRDefault="00A908CA" w:rsidP="001C477C">
            <w:pPr>
              <w:autoSpaceDE/>
              <w:autoSpaceDN/>
              <w:spacing w:line="240" w:lineRule="auto"/>
              <w:ind w:firstLine="0"/>
              <w:jc w:val="center"/>
              <w:rPr>
                <w:bCs/>
                <w:kern w:val="2"/>
                <w:sz w:val="28"/>
                <w:szCs w:val="28"/>
              </w:rPr>
            </w:pPr>
          </w:p>
        </w:tc>
        <w:tc>
          <w:tcPr>
            <w:tcW w:w="11618" w:type="dxa"/>
            <w:vAlign w:val="center"/>
          </w:tcPr>
          <w:p w:rsidR="00A908CA" w:rsidRDefault="0091368A" w:rsidP="001C477C">
            <w:pPr>
              <w:autoSpaceDE/>
              <w:autoSpaceDN/>
              <w:adjustRightInd w:val="0"/>
              <w:spacing w:line="240" w:lineRule="auto"/>
              <w:ind w:firstLine="0"/>
              <w:jc w:val="left"/>
              <w:rPr>
                <w:b/>
                <w:bCs/>
                <w:kern w:val="2"/>
                <w:sz w:val="28"/>
                <w:szCs w:val="30"/>
              </w:rPr>
            </w:pPr>
            <w:r>
              <w:rPr>
                <w:b/>
                <w:bCs/>
                <w:kern w:val="2"/>
                <w:sz w:val="28"/>
                <w:szCs w:val="30"/>
              </w:rPr>
              <w:t>2.</w:t>
            </w:r>
            <w:r>
              <w:rPr>
                <w:b/>
                <w:bCs/>
                <w:kern w:val="2"/>
                <w:sz w:val="28"/>
                <w:szCs w:val="30"/>
              </w:rPr>
              <w:t>财政奖励和金融支持。</w:t>
            </w:r>
          </w:p>
          <w:p w:rsidR="00A908CA" w:rsidRDefault="0091368A" w:rsidP="001C477C">
            <w:pPr>
              <w:autoSpaceDE/>
              <w:autoSpaceDN/>
              <w:adjustRightInd w:val="0"/>
              <w:spacing w:line="240" w:lineRule="auto"/>
              <w:ind w:firstLineChars="200" w:firstLine="552"/>
              <w:jc w:val="left"/>
              <w:rPr>
                <w:b/>
                <w:color w:val="FF0000"/>
                <w:kern w:val="2"/>
                <w:sz w:val="28"/>
                <w:szCs w:val="30"/>
              </w:rPr>
            </w:pPr>
            <w:r>
              <w:rPr>
                <w:b/>
                <w:bCs/>
                <w:kern w:val="2"/>
                <w:sz w:val="28"/>
                <w:szCs w:val="30"/>
              </w:rPr>
              <w:t>南京市</w:t>
            </w:r>
            <w:r>
              <w:rPr>
                <w:bCs/>
                <w:kern w:val="2"/>
                <w:sz w:val="28"/>
                <w:szCs w:val="30"/>
              </w:rPr>
              <w:t>印发《</w:t>
            </w:r>
            <w:bookmarkStart w:id="6" w:name="OLE_LINK10"/>
            <w:bookmarkStart w:id="7" w:name="OLE_LINK11"/>
            <w:r>
              <w:rPr>
                <w:bCs/>
                <w:kern w:val="2"/>
                <w:sz w:val="28"/>
                <w:szCs w:val="30"/>
              </w:rPr>
              <w:t>南京市绿色建筑示范项目专项扶持办法</w:t>
            </w:r>
            <w:bookmarkEnd w:id="6"/>
            <w:bookmarkEnd w:id="7"/>
            <w:r>
              <w:rPr>
                <w:bCs/>
                <w:kern w:val="2"/>
                <w:sz w:val="28"/>
                <w:szCs w:val="30"/>
              </w:rPr>
              <w:t>》，设立专项资金支持高星级绿建、超低能耗、可再生能源建筑应用、</w:t>
            </w:r>
            <w:proofErr w:type="gramStart"/>
            <w:r>
              <w:rPr>
                <w:bCs/>
                <w:kern w:val="2"/>
                <w:sz w:val="28"/>
                <w:szCs w:val="30"/>
              </w:rPr>
              <w:t>近零碳建筑</w:t>
            </w:r>
            <w:proofErr w:type="gramEnd"/>
            <w:r>
              <w:rPr>
                <w:bCs/>
                <w:kern w:val="2"/>
                <w:sz w:val="28"/>
                <w:szCs w:val="30"/>
              </w:rPr>
              <w:t>、既有建筑节能改造、节能监管能力建设、</w:t>
            </w:r>
            <w:r>
              <w:rPr>
                <w:bCs/>
                <w:kern w:val="2"/>
                <w:sz w:val="28"/>
                <w:szCs w:val="30"/>
              </w:rPr>
              <w:t>BIM</w:t>
            </w:r>
            <w:r>
              <w:rPr>
                <w:bCs/>
                <w:kern w:val="2"/>
                <w:sz w:val="28"/>
                <w:szCs w:val="30"/>
              </w:rPr>
              <w:t>示范等类型项目。</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无锡市</w:t>
            </w:r>
            <w:r>
              <w:rPr>
                <w:bCs/>
                <w:kern w:val="2"/>
                <w:sz w:val="28"/>
                <w:szCs w:val="30"/>
              </w:rPr>
              <w:t>设立绿色建筑发展专项资金，重点支持高品质绿色建筑、超低能耗</w:t>
            </w:r>
            <w:r>
              <w:rPr>
                <w:bCs/>
                <w:kern w:val="2"/>
                <w:sz w:val="28"/>
                <w:szCs w:val="30"/>
              </w:rPr>
              <w:t>/</w:t>
            </w:r>
            <w:r>
              <w:rPr>
                <w:bCs/>
                <w:kern w:val="2"/>
                <w:sz w:val="28"/>
                <w:szCs w:val="30"/>
              </w:rPr>
              <w:t>近零能耗建筑、光伏产能建筑与</w:t>
            </w:r>
            <w:proofErr w:type="gramStart"/>
            <w:r>
              <w:rPr>
                <w:bCs/>
                <w:kern w:val="2"/>
                <w:sz w:val="28"/>
                <w:szCs w:val="30"/>
              </w:rPr>
              <w:t>能源微网应用</w:t>
            </w:r>
            <w:proofErr w:type="gramEnd"/>
            <w:r>
              <w:rPr>
                <w:bCs/>
                <w:kern w:val="2"/>
                <w:sz w:val="28"/>
                <w:szCs w:val="30"/>
              </w:rPr>
              <w:t>、</w:t>
            </w:r>
            <w:r>
              <w:rPr>
                <w:bCs/>
                <w:kern w:val="2"/>
                <w:sz w:val="28"/>
                <w:szCs w:val="30"/>
              </w:rPr>
              <w:t>BIM</w:t>
            </w:r>
            <w:r>
              <w:rPr>
                <w:bCs/>
                <w:kern w:val="2"/>
                <w:sz w:val="28"/>
                <w:szCs w:val="30"/>
              </w:rPr>
              <w:t>技术应用、建筑节能设备更新及既有建筑节能改造等项目。</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扬州市</w:t>
            </w:r>
            <w:r>
              <w:rPr>
                <w:bCs/>
                <w:kern w:val="2"/>
                <w:sz w:val="28"/>
                <w:szCs w:val="30"/>
              </w:rPr>
              <w:t>印发《绿色金融支持绿色建筑产业发展专项指导意见》，</w:t>
            </w:r>
            <w:proofErr w:type="gramStart"/>
            <w:r>
              <w:rPr>
                <w:bCs/>
                <w:kern w:val="2"/>
                <w:sz w:val="28"/>
                <w:szCs w:val="30"/>
              </w:rPr>
              <w:t>构建全产业链金融</w:t>
            </w:r>
            <w:proofErr w:type="gramEnd"/>
            <w:r>
              <w:rPr>
                <w:bCs/>
                <w:kern w:val="2"/>
                <w:sz w:val="28"/>
                <w:szCs w:val="30"/>
              </w:rPr>
              <w:t>支持体系，创新专属信贷产品，优化授信审批流程，按项目绿色星级、能耗水平实施授信与利率优惠；</w:t>
            </w:r>
            <w:r>
              <w:rPr>
                <w:bCs/>
                <w:kern w:val="2"/>
                <w:sz w:val="28"/>
                <w:szCs w:val="30"/>
              </w:rPr>
              <w:lastRenderedPageBreak/>
              <w:t>统筹市级绿色建筑发展专项资金支持绿色保险试点，丰富性能保险、全生命周期保险等产品供给；落实</w:t>
            </w:r>
            <w:proofErr w:type="gramStart"/>
            <w:r>
              <w:rPr>
                <w:bCs/>
                <w:kern w:val="2"/>
                <w:sz w:val="28"/>
                <w:szCs w:val="30"/>
              </w:rPr>
              <w:t>星级绿建公积金</w:t>
            </w:r>
            <w:proofErr w:type="gramEnd"/>
            <w:r>
              <w:rPr>
                <w:bCs/>
                <w:kern w:val="2"/>
                <w:sz w:val="28"/>
                <w:szCs w:val="30"/>
              </w:rPr>
              <w:t>贷款梯度上浮政策，引导商业银行配套按揭差异化举措。</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镇江市</w:t>
            </w:r>
            <w:r>
              <w:rPr>
                <w:bCs/>
                <w:kern w:val="2"/>
                <w:sz w:val="28"/>
                <w:szCs w:val="30"/>
              </w:rPr>
              <w:t>设立市级建筑节能与绿色建筑专项引导资金，采取</w:t>
            </w:r>
            <w:r>
              <w:rPr>
                <w:bCs/>
                <w:kern w:val="2"/>
                <w:sz w:val="28"/>
                <w:szCs w:val="30"/>
              </w:rPr>
              <w:t>“</w:t>
            </w:r>
            <w:r>
              <w:rPr>
                <w:bCs/>
                <w:kern w:val="2"/>
                <w:sz w:val="28"/>
                <w:szCs w:val="30"/>
              </w:rPr>
              <w:t>以奖代补</w:t>
            </w:r>
            <w:r>
              <w:rPr>
                <w:bCs/>
                <w:kern w:val="2"/>
                <w:sz w:val="28"/>
                <w:szCs w:val="30"/>
              </w:rPr>
              <w:t>”</w:t>
            </w:r>
            <w:r>
              <w:rPr>
                <w:bCs/>
                <w:kern w:val="2"/>
                <w:sz w:val="28"/>
                <w:szCs w:val="30"/>
              </w:rPr>
              <w:t>模式，精准支持绿色建筑、节能改造、科技研发等重点方向。</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泰州市</w:t>
            </w:r>
            <w:r>
              <w:rPr>
                <w:bCs/>
                <w:kern w:val="2"/>
                <w:sz w:val="28"/>
                <w:szCs w:val="30"/>
              </w:rPr>
              <w:t>印发《关于泰州市区新建商品住宅开展绿色建筑星级和</w:t>
            </w:r>
            <w:bookmarkStart w:id="8" w:name="OLE_LINK39"/>
            <w:bookmarkStart w:id="9" w:name="OLE_LINK38"/>
            <w:r>
              <w:rPr>
                <w:bCs/>
                <w:kern w:val="2"/>
                <w:sz w:val="28"/>
                <w:szCs w:val="30"/>
              </w:rPr>
              <w:t>超低能耗</w:t>
            </w:r>
            <w:bookmarkEnd w:id="8"/>
            <w:bookmarkEnd w:id="9"/>
            <w:r>
              <w:rPr>
                <w:bCs/>
                <w:kern w:val="2"/>
                <w:sz w:val="28"/>
                <w:szCs w:val="30"/>
              </w:rPr>
              <w:t>认定有关事项的通知》，落实高星级绿色建筑和超低能耗建筑公积金贷款梯度上浮政策。</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昆山市</w:t>
            </w:r>
            <w:r>
              <w:rPr>
                <w:bCs/>
                <w:kern w:val="2"/>
                <w:sz w:val="28"/>
                <w:szCs w:val="30"/>
              </w:rPr>
              <w:t>在全省县级市中率先制定《支持建筑业绿色低碳发展若干政策实施细则》，聚焦</w:t>
            </w:r>
            <w:r w:rsidR="001C477C">
              <w:rPr>
                <w:bCs/>
                <w:kern w:val="2"/>
                <w:sz w:val="28"/>
                <w:szCs w:val="30"/>
              </w:rPr>
              <w:t>星级</w:t>
            </w:r>
            <w:r>
              <w:rPr>
                <w:bCs/>
                <w:kern w:val="2"/>
                <w:sz w:val="28"/>
                <w:szCs w:val="30"/>
              </w:rPr>
              <w:t>绿色建筑</w:t>
            </w:r>
            <w:r w:rsidR="001C477C">
              <w:rPr>
                <w:rFonts w:hint="eastAsia"/>
                <w:bCs/>
                <w:kern w:val="2"/>
                <w:sz w:val="28"/>
                <w:szCs w:val="30"/>
              </w:rPr>
              <w:t>标识项目</w:t>
            </w:r>
            <w:r>
              <w:rPr>
                <w:bCs/>
                <w:kern w:val="2"/>
                <w:sz w:val="28"/>
                <w:szCs w:val="30"/>
              </w:rPr>
              <w:t>、近零能耗建筑、</w:t>
            </w:r>
            <w:proofErr w:type="gramStart"/>
            <w:r>
              <w:rPr>
                <w:bCs/>
                <w:kern w:val="2"/>
                <w:sz w:val="28"/>
                <w:szCs w:val="30"/>
              </w:rPr>
              <w:t>零碳建筑及零碳区域</w:t>
            </w:r>
            <w:proofErr w:type="gramEnd"/>
            <w:r>
              <w:rPr>
                <w:bCs/>
                <w:kern w:val="2"/>
                <w:sz w:val="28"/>
                <w:szCs w:val="30"/>
              </w:rPr>
              <w:t>等核心领域，明确奖励范围、标准、申报流程与监管要求。</w:t>
            </w:r>
          </w:p>
        </w:tc>
      </w:tr>
      <w:tr w:rsidR="00A908CA" w:rsidTr="001C477C">
        <w:trPr>
          <w:jc w:val="center"/>
        </w:trPr>
        <w:tc>
          <w:tcPr>
            <w:tcW w:w="709" w:type="dxa"/>
            <w:vMerge w:val="restart"/>
            <w:vAlign w:val="center"/>
          </w:tcPr>
          <w:p w:rsidR="00A908CA" w:rsidRDefault="0091368A" w:rsidP="001C477C">
            <w:pPr>
              <w:autoSpaceDE/>
              <w:autoSpaceDN/>
              <w:spacing w:line="240" w:lineRule="auto"/>
              <w:ind w:firstLine="0"/>
              <w:jc w:val="center"/>
              <w:rPr>
                <w:rFonts w:eastAsia="方正黑体_GBK"/>
                <w:bCs/>
                <w:kern w:val="2"/>
                <w:sz w:val="28"/>
                <w:szCs w:val="28"/>
              </w:rPr>
            </w:pPr>
            <w:r>
              <w:rPr>
                <w:rFonts w:eastAsia="方正黑体_GBK"/>
                <w:bCs/>
                <w:kern w:val="2"/>
                <w:sz w:val="28"/>
                <w:szCs w:val="28"/>
              </w:rPr>
              <w:lastRenderedPageBreak/>
              <w:t>二</w:t>
            </w:r>
          </w:p>
        </w:tc>
        <w:tc>
          <w:tcPr>
            <w:tcW w:w="1156" w:type="dxa"/>
            <w:vMerge w:val="restart"/>
            <w:vAlign w:val="center"/>
          </w:tcPr>
          <w:p w:rsidR="00A908CA" w:rsidRDefault="0091368A" w:rsidP="001C477C">
            <w:pPr>
              <w:autoSpaceDE/>
              <w:autoSpaceDN/>
              <w:spacing w:line="240" w:lineRule="auto"/>
              <w:ind w:firstLine="0"/>
              <w:jc w:val="center"/>
              <w:rPr>
                <w:rFonts w:eastAsia="方正黑体_GBK"/>
                <w:bCs/>
                <w:kern w:val="2"/>
                <w:sz w:val="28"/>
                <w:szCs w:val="28"/>
              </w:rPr>
            </w:pPr>
            <w:r>
              <w:rPr>
                <w:rFonts w:eastAsia="方正黑体_GBK"/>
                <w:bCs/>
                <w:kern w:val="2"/>
                <w:sz w:val="28"/>
                <w:szCs w:val="28"/>
              </w:rPr>
              <w:t>技术</w:t>
            </w:r>
          </w:p>
          <w:p w:rsidR="00A908CA" w:rsidRDefault="0091368A" w:rsidP="001C477C">
            <w:pPr>
              <w:autoSpaceDE/>
              <w:autoSpaceDN/>
              <w:spacing w:line="240" w:lineRule="auto"/>
              <w:ind w:firstLine="0"/>
              <w:jc w:val="center"/>
              <w:rPr>
                <w:bCs/>
                <w:kern w:val="2"/>
                <w:sz w:val="28"/>
                <w:szCs w:val="28"/>
              </w:rPr>
            </w:pPr>
            <w:r>
              <w:rPr>
                <w:rFonts w:eastAsia="方正黑体_GBK"/>
                <w:bCs/>
                <w:kern w:val="2"/>
                <w:sz w:val="28"/>
                <w:szCs w:val="28"/>
              </w:rPr>
              <w:t>支撑</w:t>
            </w:r>
          </w:p>
        </w:tc>
        <w:tc>
          <w:tcPr>
            <w:tcW w:w="1455" w:type="dxa"/>
            <w:vMerge w:val="restart"/>
            <w:vAlign w:val="center"/>
          </w:tcPr>
          <w:p w:rsidR="00A908CA" w:rsidRDefault="0091368A" w:rsidP="001C477C">
            <w:pPr>
              <w:autoSpaceDE/>
              <w:autoSpaceDN/>
              <w:spacing w:line="240" w:lineRule="auto"/>
              <w:ind w:firstLine="0"/>
              <w:jc w:val="center"/>
              <w:rPr>
                <w:b/>
                <w:bCs/>
                <w:kern w:val="2"/>
                <w:szCs w:val="28"/>
              </w:rPr>
            </w:pPr>
            <w:r>
              <w:rPr>
                <w:b/>
                <w:bCs/>
                <w:kern w:val="2"/>
                <w:szCs w:val="28"/>
              </w:rPr>
              <w:t>（一）</w:t>
            </w:r>
          </w:p>
          <w:p w:rsidR="00A908CA" w:rsidRDefault="0091368A" w:rsidP="001C477C">
            <w:pPr>
              <w:autoSpaceDE/>
              <w:autoSpaceDN/>
              <w:spacing w:line="240" w:lineRule="auto"/>
              <w:ind w:firstLine="0"/>
              <w:jc w:val="center"/>
              <w:rPr>
                <w:b/>
                <w:bCs/>
                <w:kern w:val="2"/>
                <w:szCs w:val="28"/>
              </w:rPr>
            </w:pPr>
            <w:r>
              <w:rPr>
                <w:b/>
                <w:bCs/>
                <w:kern w:val="2"/>
                <w:szCs w:val="28"/>
              </w:rPr>
              <w:t>新技术</w:t>
            </w:r>
          </w:p>
          <w:p w:rsidR="00A908CA" w:rsidRDefault="0091368A" w:rsidP="001C477C">
            <w:pPr>
              <w:autoSpaceDE/>
              <w:autoSpaceDN/>
              <w:spacing w:line="240" w:lineRule="auto"/>
              <w:ind w:firstLine="0"/>
              <w:jc w:val="center"/>
              <w:rPr>
                <w:bCs/>
                <w:kern w:val="2"/>
                <w:sz w:val="28"/>
                <w:szCs w:val="28"/>
              </w:rPr>
            </w:pPr>
            <w:r>
              <w:rPr>
                <w:b/>
                <w:bCs/>
                <w:kern w:val="2"/>
                <w:szCs w:val="28"/>
              </w:rPr>
              <w:t>发展</w:t>
            </w:r>
          </w:p>
        </w:tc>
        <w:tc>
          <w:tcPr>
            <w:tcW w:w="11618" w:type="dxa"/>
            <w:vAlign w:val="center"/>
          </w:tcPr>
          <w:p w:rsidR="00A908CA" w:rsidRDefault="0091368A" w:rsidP="001C477C">
            <w:pPr>
              <w:autoSpaceDE/>
              <w:autoSpaceDN/>
              <w:adjustRightInd w:val="0"/>
              <w:spacing w:line="240" w:lineRule="auto"/>
              <w:ind w:firstLine="0"/>
              <w:jc w:val="left"/>
              <w:rPr>
                <w:b/>
                <w:bCs/>
                <w:kern w:val="2"/>
                <w:sz w:val="28"/>
                <w:szCs w:val="30"/>
              </w:rPr>
            </w:pPr>
            <w:r>
              <w:rPr>
                <w:b/>
                <w:bCs/>
                <w:kern w:val="2"/>
                <w:sz w:val="28"/>
                <w:szCs w:val="30"/>
              </w:rPr>
              <w:t>1.</w:t>
            </w:r>
            <w:r>
              <w:rPr>
                <w:b/>
                <w:bCs/>
                <w:kern w:val="2"/>
                <w:sz w:val="28"/>
                <w:szCs w:val="30"/>
              </w:rPr>
              <w:t>推动关键技术研发。</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连云港市</w:t>
            </w:r>
            <w:r>
              <w:rPr>
                <w:bCs/>
                <w:kern w:val="2"/>
                <w:sz w:val="28"/>
                <w:szCs w:val="30"/>
              </w:rPr>
              <w:t>对市级集中办公区打造智慧中枢，深度运用数字孪生、大数据分析等前沿技术构建能源管理平台，实现能源流向、设备运行状态的全景可视化。通过</w:t>
            </w:r>
            <w:r>
              <w:rPr>
                <w:bCs/>
                <w:kern w:val="2"/>
                <w:sz w:val="28"/>
                <w:szCs w:val="30"/>
              </w:rPr>
              <w:t>AI</w:t>
            </w:r>
            <w:r>
              <w:rPr>
                <w:bCs/>
                <w:kern w:val="2"/>
                <w:sz w:val="28"/>
                <w:szCs w:val="30"/>
              </w:rPr>
              <w:t>智能算法精准分析能源消耗规律，优化设备运行调控策略，精准定位各区域节能潜力点，建立设备故障智能预警机制，提前排</w:t>
            </w:r>
            <w:proofErr w:type="gramStart"/>
            <w:r>
              <w:rPr>
                <w:bCs/>
                <w:kern w:val="2"/>
                <w:sz w:val="28"/>
                <w:szCs w:val="30"/>
              </w:rPr>
              <w:t>查安全</w:t>
            </w:r>
            <w:proofErr w:type="gramEnd"/>
            <w:r>
              <w:rPr>
                <w:bCs/>
                <w:kern w:val="2"/>
                <w:sz w:val="28"/>
                <w:szCs w:val="30"/>
              </w:rPr>
              <w:t>隐患，实现从</w:t>
            </w:r>
            <w:r>
              <w:rPr>
                <w:bCs/>
                <w:kern w:val="2"/>
                <w:sz w:val="28"/>
                <w:szCs w:val="30"/>
              </w:rPr>
              <w:t>“</w:t>
            </w:r>
            <w:r>
              <w:rPr>
                <w:bCs/>
                <w:kern w:val="2"/>
                <w:sz w:val="28"/>
                <w:szCs w:val="30"/>
              </w:rPr>
              <w:t>被动报修、事后处置</w:t>
            </w:r>
            <w:r>
              <w:rPr>
                <w:bCs/>
                <w:kern w:val="2"/>
                <w:sz w:val="28"/>
                <w:szCs w:val="30"/>
              </w:rPr>
              <w:t>”</w:t>
            </w:r>
            <w:r>
              <w:rPr>
                <w:bCs/>
                <w:kern w:val="2"/>
                <w:sz w:val="28"/>
                <w:szCs w:val="30"/>
              </w:rPr>
              <w:t>向</w:t>
            </w:r>
            <w:r>
              <w:rPr>
                <w:bCs/>
                <w:kern w:val="2"/>
                <w:sz w:val="28"/>
                <w:szCs w:val="30"/>
              </w:rPr>
              <w:t>“</w:t>
            </w:r>
            <w:r>
              <w:rPr>
                <w:bCs/>
                <w:kern w:val="2"/>
                <w:sz w:val="28"/>
                <w:szCs w:val="30"/>
              </w:rPr>
              <w:t>主动运维、事前预防</w:t>
            </w:r>
            <w:r>
              <w:rPr>
                <w:bCs/>
                <w:kern w:val="2"/>
                <w:sz w:val="28"/>
                <w:szCs w:val="30"/>
              </w:rPr>
              <w:t>”</w:t>
            </w:r>
            <w:r>
              <w:rPr>
                <w:bCs/>
                <w:kern w:val="2"/>
                <w:sz w:val="28"/>
                <w:szCs w:val="30"/>
              </w:rPr>
              <w:t>的精准升级。</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镇江市</w:t>
            </w:r>
            <w:r>
              <w:rPr>
                <w:bCs/>
                <w:kern w:val="2"/>
                <w:sz w:val="28"/>
                <w:szCs w:val="30"/>
              </w:rPr>
              <w:t>引入多模态</w:t>
            </w:r>
            <w:r>
              <w:rPr>
                <w:bCs/>
                <w:kern w:val="2"/>
                <w:sz w:val="28"/>
                <w:szCs w:val="30"/>
              </w:rPr>
              <w:t>AI</w:t>
            </w:r>
            <w:r>
              <w:rPr>
                <w:bCs/>
                <w:kern w:val="2"/>
                <w:sz w:val="28"/>
                <w:szCs w:val="30"/>
              </w:rPr>
              <w:t>大模型技术，构建</w:t>
            </w:r>
            <w:r>
              <w:rPr>
                <w:bCs/>
                <w:kern w:val="2"/>
                <w:sz w:val="28"/>
                <w:szCs w:val="30"/>
              </w:rPr>
              <w:t>“AI</w:t>
            </w:r>
            <w:r>
              <w:rPr>
                <w:bCs/>
                <w:kern w:val="2"/>
                <w:sz w:val="28"/>
                <w:szCs w:val="30"/>
              </w:rPr>
              <w:t>辅助</w:t>
            </w:r>
            <w:r>
              <w:rPr>
                <w:bCs/>
                <w:kern w:val="2"/>
                <w:sz w:val="28"/>
                <w:szCs w:val="30"/>
              </w:rPr>
              <w:t>+</w:t>
            </w:r>
            <w:r>
              <w:rPr>
                <w:bCs/>
                <w:kern w:val="2"/>
                <w:sz w:val="28"/>
                <w:szCs w:val="30"/>
              </w:rPr>
              <w:t>人工综合</w:t>
            </w:r>
            <w:proofErr w:type="gramStart"/>
            <w:r>
              <w:rPr>
                <w:bCs/>
                <w:kern w:val="2"/>
                <w:sz w:val="28"/>
                <w:szCs w:val="30"/>
              </w:rPr>
              <w:t>研</w:t>
            </w:r>
            <w:proofErr w:type="gramEnd"/>
            <w:r>
              <w:rPr>
                <w:bCs/>
                <w:kern w:val="2"/>
                <w:sz w:val="28"/>
                <w:szCs w:val="30"/>
              </w:rPr>
              <w:t>判</w:t>
            </w:r>
            <w:r>
              <w:rPr>
                <w:bCs/>
                <w:kern w:val="2"/>
                <w:sz w:val="28"/>
                <w:szCs w:val="30"/>
              </w:rPr>
              <w:t>”</w:t>
            </w:r>
            <w:r>
              <w:rPr>
                <w:bCs/>
                <w:kern w:val="2"/>
                <w:sz w:val="28"/>
                <w:szCs w:val="30"/>
              </w:rPr>
              <w:t>的绿色建筑</w:t>
            </w:r>
            <w:proofErr w:type="gramStart"/>
            <w:r>
              <w:rPr>
                <w:bCs/>
                <w:kern w:val="2"/>
                <w:sz w:val="28"/>
                <w:szCs w:val="30"/>
              </w:rPr>
              <w:t>预评价</w:t>
            </w:r>
            <w:proofErr w:type="gramEnd"/>
            <w:r>
              <w:rPr>
                <w:bCs/>
                <w:kern w:val="2"/>
                <w:sz w:val="28"/>
                <w:szCs w:val="30"/>
              </w:rPr>
              <w:t>新范式。通过规范精准检索，利用多模态</w:t>
            </w:r>
            <w:r>
              <w:rPr>
                <w:bCs/>
                <w:kern w:val="2"/>
                <w:sz w:val="28"/>
                <w:szCs w:val="30"/>
              </w:rPr>
              <w:t>AI</w:t>
            </w:r>
            <w:r>
              <w:rPr>
                <w:bCs/>
                <w:kern w:val="2"/>
                <w:sz w:val="28"/>
                <w:szCs w:val="30"/>
              </w:rPr>
              <w:t>解析图纸与技术表，自动识别不</w:t>
            </w:r>
            <w:proofErr w:type="gramStart"/>
            <w:r>
              <w:rPr>
                <w:bCs/>
                <w:kern w:val="2"/>
                <w:sz w:val="28"/>
                <w:szCs w:val="30"/>
              </w:rPr>
              <w:t>一致项</w:t>
            </w:r>
            <w:proofErr w:type="gramEnd"/>
            <w:r>
              <w:rPr>
                <w:bCs/>
                <w:kern w:val="2"/>
                <w:sz w:val="28"/>
                <w:szCs w:val="30"/>
              </w:rPr>
              <w:t>并生成预警报告，创新构建</w:t>
            </w:r>
            <w:r>
              <w:rPr>
                <w:bCs/>
                <w:kern w:val="2"/>
                <w:sz w:val="28"/>
                <w:szCs w:val="30"/>
              </w:rPr>
              <w:t>“</w:t>
            </w:r>
            <w:r>
              <w:rPr>
                <w:bCs/>
                <w:kern w:val="2"/>
                <w:sz w:val="28"/>
                <w:szCs w:val="30"/>
              </w:rPr>
              <w:t>绿色建筑智慧大脑</w:t>
            </w:r>
            <w:r>
              <w:rPr>
                <w:bCs/>
                <w:kern w:val="2"/>
                <w:sz w:val="28"/>
                <w:szCs w:val="30"/>
              </w:rPr>
              <w:t>”</w:t>
            </w:r>
            <w:r>
              <w:rPr>
                <w:bCs/>
                <w:kern w:val="2"/>
                <w:sz w:val="28"/>
                <w:szCs w:val="30"/>
              </w:rPr>
              <w:t>，形成数字化、靶向化的建筑节能监管新路径。</w:t>
            </w:r>
          </w:p>
        </w:tc>
      </w:tr>
      <w:tr w:rsidR="00A908CA" w:rsidTr="001C477C">
        <w:trPr>
          <w:jc w:val="center"/>
        </w:trPr>
        <w:tc>
          <w:tcPr>
            <w:tcW w:w="709" w:type="dxa"/>
            <w:vMerge/>
            <w:vAlign w:val="center"/>
          </w:tcPr>
          <w:p w:rsidR="00A908CA" w:rsidRDefault="00A908CA" w:rsidP="001C477C">
            <w:pPr>
              <w:autoSpaceDE/>
              <w:autoSpaceDN/>
              <w:spacing w:line="240" w:lineRule="auto"/>
              <w:ind w:firstLine="0"/>
              <w:jc w:val="center"/>
              <w:rPr>
                <w:bCs/>
                <w:kern w:val="2"/>
                <w:sz w:val="28"/>
                <w:szCs w:val="28"/>
              </w:rPr>
            </w:pPr>
          </w:p>
        </w:tc>
        <w:tc>
          <w:tcPr>
            <w:tcW w:w="1156" w:type="dxa"/>
            <w:vMerge/>
            <w:vAlign w:val="center"/>
          </w:tcPr>
          <w:p w:rsidR="00A908CA" w:rsidRDefault="00A908CA" w:rsidP="001C477C">
            <w:pPr>
              <w:autoSpaceDE/>
              <w:autoSpaceDN/>
              <w:spacing w:line="240" w:lineRule="auto"/>
              <w:ind w:firstLine="0"/>
              <w:jc w:val="center"/>
              <w:rPr>
                <w:bCs/>
                <w:kern w:val="2"/>
                <w:sz w:val="28"/>
                <w:szCs w:val="28"/>
              </w:rPr>
            </w:pPr>
          </w:p>
        </w:tc>
        <w:tc>
          <w:tcPr>
            <w:tcW w:w="1455" w:type="dxa"/>
            <w:vMerge/>
            <w:vAlign w:val="center"/>
          </w:tcPr>
          <w:p w:rsidR="00A908CA" w:rsidRDefault="00A908CA" w:rsidP="001C477C">
            <w:pPr>
              <w:autoSpaceDE/>
              <w:autoSpaceDN/>
              <w:spacing w:line="240" w:lineRule="auto"/>
              <w:ind w:firstLine="0"/>
              <w:jc w:val="center"/>
              <w:rPr>
                <w:bCs/>
                <w:kern w:val="2"/>
                <w:sz w:val="28"/>
                <w:szCs w:val="28"/>
              </w:rPr>
            </w:pPr>
          </w:p>
        </w:tc>
        <w:tc>
          <w:tcPr>
            <w:tcW w:w="11618" w:type="dxa"/>
            <w:vAlign w:val="center"/>
          </w:tcPr>
          <w:p w:rsidR="00A908CA" w:rsidRDefault="0091368A" w:rsidP="001C477C">
            <w:pPr>
              <w:autoSpaceDE/>
              <w:autoSpaceDN/>
              <w:adjustRightInd w:val="0"/>
              <w:spacing w:line="240" w:lineRule="auto"/>
              <w:ind w:firstLine="0"/>
              <w:jc w:val="left"/>
              <w:rPr>
                <w:b/>
                <w:bCs/>
                <w:kern w:val="2"/>
                <w:sz w:val="28"/>
                <w:szCs w:val="30"/>
              </w:rPr>
            </w:pPr>
            <w:r>
              <w:rPr>
                <w:b/>
                <w:bCs/>
                <w:kern w:val="2"/>
                <w:sz w:val="28"/>
                <w:szCs w:val="30"/>
              </w:rPr>
              <w:t>2.</w:t>
            </w:r>
            <w:r>
              <w:rPr>
                <w:b/>
                <w:bCs/>
                <w:kern w:val="2"/>
                <w:sz w:val="28"/>
                <w:szCs w:val="30"/>
              </w:rPr>
              <w:t>培育典型案例。</w:t>
            </w:r>
          </w:p>
          <w:p w:rsidR="00A908CA" w:rsidRDefault="0091368A" w:rsidP="001C477C">
            <w:pPr>
              <w:topLinePunct/>
              <w:autoSpaceDE/>
              <w:autoSpaceDN/>
              <w:spacing w:line="240" w:lineRule="auto"/>
              <w:ind w:rightChars="50" w:right="158" w:firstLineChars="200" w:firstLine="552"/>
              <w:rPr>
                <w:bCs/>
                <w:kern w:val="2"/>
                <w:sz w:val="28"/>
                <w:szCs w:val="30"/>
              </w:rPr>
            </w:pPr>
            <w:r>
              <w:rPr>
                <w:b/>
                <w:bCs/>
                <w:kern w:val="2"/>
                <w:sz w:val="28"/>
                <w:szCs w:val="30"/>
              </w:rPr>
              <w:t>南京市</w:t>
            </w:r>
            <w:r>
              <w:rPr>
                <w:bCs/>
                <w:kern w:val="2"/>
                <w:sz w:val="28"/>
                <w:szCs w:val="30"/>
              </w:rPr>
              <w:t>在南京市第二十九中学新校区建设工程</w:t>
            </w:r>
            <w:r>
              <w:rPr>
                <w:bCs/>
                <w:kern w:val="2"/>
                <w:sz w:val="28"/>
                <w:szCs w:val="30"/>
              </w:rPr>
              <w:t>——</w:t>
            </w:r>
            <w:r>
              <w:rPr>
                <w:bCs/>
                <w:kern w:val="2"/>
                <w:sz w:val="28"/>
                <w:szCs w:val="30"/>
              </w:rPr>
              <w:t>风雨操场与食堂项目中探索夏热冬</w:t>
            </w:r>
            <w:proofErr w:type="gramStart"/>
            <w:r>
              <w:rPr>
                <w:bCs/>
                <w:kern w:val="2"/>
                <w:sz w:val="28"/>
                <w:szCs w:val="30"/>
              </w:rPr>
              <w:t>冷地区</w:t>
            </w:r>
            <w:proofErr w:type="gramEnd"/>
            <w:r>
              <w:rPr>
                <w:bCs/>
                <w:kern w:val="2"/>
                <w:sz w:val="28"/>
                <w:szCs w:val="30"/>
              </w:rPr>
              <w:t>近零能耗教育建筑的实现路径，通过光伏与屋顶一体化和新型电力系统示范，为同类教</w:t>
            </w:r>
            <w:r>
              <w:rPr>
                <w:bCs/>
                <w:kern w:val="2"/>
                <w:sz w:val="28"/>
                <w:szCs w:val="30"/>
              </w:rPr>
              <w:lastRenderedPageBreak/>
              <w:t>育建筑设计提供参考。项目通过空气源热泵、</w:t>
            </w:r>
            <w:proofErr w:type="gramStart"/>
            <w:r>
              <w:rPr>
                <w:bCs/>
                <w:kern w:val="2"/>
                <w:sz w:val="28"/>
                <w:szCs w:val="30"/>
              </w:rPr>
              <w:t>直膨式空调</w:t>
            </w:r>
            <w:proofErr w:type="gramEnd"/>
            <w:r>
              <w:rPr>
                <w:bCs/>
                <w:kern w:val="2"/>
                <w:sz w:val="28"/>
                <w:szCs w:val="30"/>
              </w:rPr>
              <w:t>系统、餐饮设施电气化，结合直流微电网设计，实现建筑全面电气化，降低建筑直接碳排放。</w:t>
            </w:r>
          </w:p>
          <w:p w:rsidR="00A908CA" w:rsidRDefault="0091368A" w:rsidP="001C477C">
            <w:pPr>
              <w:spacing w:line="240" w:lineRule="auto"/>
              <w:ind w:firstLineChars="200" w:firstLine="552"/>
              <w:jc w:val="left"/>
              <w:rPr>
                <w:bCs/>
                <w:kern w:val="2"/>
                <w:sz w:val="28"/>
                <w:szCs w:val="30"/>
              </w:rPr>
            </w:pPr>
            <w:r>
              <w:rPr>
                <w:b/>
                <w:bCs/>
                <w:kern w:val="2"/>
                <w:sz w:val="28"/>
                <w:szCs w:val="30"/>
              </w:rPr>
              <w:t>无锡</w:t>
            </w:r>
            <w:proofErr w:type="gramStart"/>
            <w:r>
              <w:rPr>
                <w:b/>
                <w:bCs/>
                <w:kern w:val="2"/>
                <w:sz w:val="28"/>
                <w:szCs w:val="30"/>
              </w:rPr>
              <w:t>市</w:t>
            </w:r>
            <w:r>
              <w:rPr>
                <w:bCs/>
                <w:kern w:val="2"/>
                <w:sz w:val="28"/>
                <w:szCs w:val="30"/>
              </w:rPr>
              <w:t>推动</w:t>
            </w:r>
            <w:proofErr w:type="gramEnd"/>
            <w:r>
              <w:rPr>
                <w:bCs/>
                <w:kern w:val="2"/>
                <w:sz w:val="28"/>
                <w:szCs w:val="30"/>
              </w:rPr>
              <w:t>钙钛矿光</w:t>
            </w:r>
            <w:proofErr w:type="gramStart"/>
            <w:r>
              <w:rPr>
                <w:bCs/>
                <w:kern w:val="2"/>
                <w:sz w:val="28"/>
                <w:szCs w:val="30"/>
              </w:rPr>
              <w:t>伏建筑</w:t>
            </w:r>
            <w:proofErr w:type="gramEnd"/>
            <w:r>
              <w:rPr>
                <w:bCs/>
                <w:kern w:val="2"/>
                <w:sz w:val="28"/>
                <w:szCs w:val="30"/>
              </w:rPr>
              <w:t>一体化技术在无锡交响音乐厅项目中落地应用。增量成本依托发电收益仅需</w:t>
            </w:r>
            <w:r>
              <w:rPr>
                <w:bCs/>
                <w:kern w:val="2"/>
                <w:sz w:val="28"/>
                <w:szCs w:val="30"/>
              </w:rPr>
              <w:t>5-6</w:t>
            </w:r>
            <w:r>
              <w:rPr>
                <w:bCs/>
                <w:kern w:val="2"/>
                <w:sz w:val="28"/>
                <w:szCs w:val="30"/>
              </w:rPr>
              <w:t>年即可回收，综合经济效益显著。产品全生产周期能耗</w:t>
            </w:r>
            <w:proofErr w:type="gramStart"/>
            <w:r>
              <w:rPr>
                <w:bCs/>
                <w:kern w:val="2"/>
                <w:sz w:val="28"/>
                <w:szCs w:val="30"/>
              </w:rPr>
              <w:t>仅为晶硅</w:t>
            </w:r>
            <w:proofErr w:type="gramEnd"/>
            <w:r>
              <w:rPr>
                <w:bCs/>
                <w:kern w:val="2"/>
                <w:sz w:val="28"/>
                <w:szCs w:val="30"/>
              </w:rPr>
              <w:t>的</w:t>
            </w:r>
            <w:r>
              <w:rPr>
                <w:bCs/>
                <w:kern w:val="2"/>
                <w:sz w:val="28"/>
                <w:szCs w:val="30"/>
              </w:rPr>
              <w:t>1/4</w:t>
            </w:r>
            <w:r>
              <w:rPr>
                <w:bCs/>
                <w:kern w:val="2"/>
                <w:sz w:val="28"/>
                <w:szCs w:val="30"/>
              </w:rPr>
              <w:t>，温度系数低至</w:t>
            </w:r>
            <w:r>
              <w:rPr>
                <w:bCs/>
                <w:kern w:val="2"/>
                <w:sz w:val="28"/>
                <w:szCs w:val="30"/>
              </w:rPr>
              <w:t>-0.004%/℃</w:t>
            </w:r>
            <w:r>
              <w:rPr>
                <w:bCs/>
                <w:kern w:val="2"/>
                <w:sz w:val="28"/>
                <w:szCs w:val="30"/>
              </w:rPr>
              <w:t>，弱光响应优异；推动搭建</w:t>
            </w:r>
            <w:r>
              <w:rPr>
                <w:bCs/>
                <w:kern w:val="2"/>
                <w:sz w:val="28"/>
                <w:szCs w:val="30"/>
              </w:rPr>
              <w:t>AI</w:t>
            </w:r>
            <w:r>
              <w:rPr>
                <w:bCs/>
                <w:kern w:val="2"/>
                <w:sz w:val="28"/>
                <w:szCs w:val="30"/>
              </w:rPr>
              <w:t>驱动的智慧</w:t>
            </w:r>
            <w:proofErr w:type="gramStart"/>
            <w:r>
              <w:rPr>
                <w:bCs/>
                <w:kern w:val="2"/>
                <w:sz w:val="28"/>
                <w:szCs w:val="30"/>
              </w:rPr>
              <w:t>能碳管理</w:t>
            </w:r>
            <w:proofErr w:type="gramEnd"/>
            <w:r>
              <w:rPr>
                <w:bCs/>
                <w:kern w:val="2"/>
                <w:sz w:val="28"/>
                <w:szCs w:val="30"/>
              </w:rPr>
              <w:t>体系在无锡民用航空电子产业化项目中落地，项目以超思（</w:t>
            </w:r>
            <w:r>
              <w:rPr>
                <w:bCs/>
                <w:kern w:val="2"/>
                <w:sz w:val="28"/>
                <w:szCs w:val="30"/>
              </w:rPr>
              <w:t>CHAOS‑Optima</w:t>
            </w:r>
            <w:r>
              <w:rPr>
                <w:bCs/>
                <w:kern w:val="2"/>
                <w:sz w:val="28"/>
                <w:szCs w:val="30"/>
              </w:rPr>
              <w:t>）智能优化算法为核心，集成多模态感知、数字孪生、</w:t>
            </w:r>
            <w:r>
              <w:rPr>
                <w:bCs/>
                <w:kern w:val="2"/>
                <w:sz w:val="28"/>
                <w:szCs w:val="30"/>
              </w:rPr>
              <w:t>Transformer</w:t>
            </w:r>
            <w:r>
              <w:rPr>
                <w:bCs/>
                <w:kern w:val="2"/>
                <w:sz w:val="28"/>
                <w:szCs w:val="30"/>
              </w:rPr>
              <w:t>算法等技术，实现碳排放精准预测、设备运行全局优化。</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常州</w:t>
            </w:r>
            <w:proofErr w:type="gramStart"/>
            <w:r>
              <w:rPr>
                <w:b/>
                <w:bCs/>
                <w:kern w:val="2"/>
                <w:sz w:val="28"/>
                <w:szCs w:val="30"/>
              </w:rPr>
              <w:t>市</w:t>
            </w:r>
            <w:r>
              <w:rPr>
                <w:bCs/>
                <w:kern w:val="2"/>
                <w:sz w:val="28"/>
                <w:szCs w:val="30"/>
              </w:rPr>
              <w:t>推动</w:t>
            </w:r>
            <w:proofErr w:type="gramEnd"/>
            <w:r>
              <w:rPr>
                <w:bCs/>
                <w:kern w:val="2"/>
                <w:sz w:val="28"/>
                <w:szCs w:val="30"/>
              </w:rPr>
              <w:t>低碳建筑群浅表热能规模化利用技术在常州高铁新城智慧综合能源站项目中应用，项目构建了能源子母站</w:t>
            </w:r>
            <w:r>
              <w:rPr>
                <w:bCs/>
                <w:kern w:val="2"/>
                <w:sz w:val="28"/>
                <w:szCs w:val="30"/>
              </w:rPr>
              <w:t>+</w:t>
            </w:r>
            <w:r>
              <w:rPr>
                <w:bCs/>
                <w:kern w:val="2"/>
                <w:sz w:val="28"/>
                <w:szCs w:val="30"/>
              </w:rPr>
              <w:t>蜂窝型输配网系统，提供冷、热、</w:t>
            </w:r>
            <w:proofErr w:type="gramStart"/>
            <w:r>
              <w:rPr>
                <w:bCs/>
                <w:kern w:val="2"/>
                <w:sz w:val="28"/>
                <w:szCs w:val="30"/>
              </w:rPr>
              <w:t>暖多联供</w:t>
            </w:r>
            <w:proofErr w:type="gramEnd"/>
            <w:r>
              <w:rPr>
                <w:bCs/>
                <w:kern w:val="2"/>
                <w:sz w:val="28"/>
                <w:szCs w:val="30"/>
              </w:rPr>
              <w:t>。同时与城市中水回用、景观活水工程相结合，实现水</w:t>
            </w:r>
            <w:proofErr w:type="gramStart"/>
            <w:r>
              <w:rPr>
                <w:bCs/>
                <w:kern w:val="2"/>
                <w:sz w:val="28"/>
                <w:szCs w:val="30"/>
              </w:rPr>
              <w:t>热同输</w:t>
            </w:r>
            <w:proofErr w:type="gramEnd"/>
            <w:r>
              <w:rPr>
                <w:bCs/>
                <w:kern w:val="2"/>
                <w:sz w:val="28"/>
                <w:szCs w:val="30"/>
              </w:rPr>
              <w:t>。聚合了</w:t>
            </w:r>
            <w:proofErr w:type="gramStart"/>
            <w:r>
              <w:rPr>
                <w:bCs/>
                <w:kern w:val="2"/>
                <w:sz w:val="28"/>
                <w:szCs w:val="30"/>
              </w:rPr>
              <w:t>百兆瓦</w:t>
            </w:r>
            <w:proofErr w:type="gramEnd"/>
            <w:r>
              <w:rPr>
                <w:bCs/>
                <w:kern w:val="2"/>
                <w:sz w:val="28"/>
                <w:szCs w:val="30"/>
              </w:rPr>
              <w:t>级灵活性可调资源，有力支撑新型电力系统的柔性响应需求。</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盐城市</w:t>
            </w:r>
            <w:r>
              <w:rPr>
                <w:bCs/>
                <w:kern w:val="2"/>
                <w:sz w:val="28"/>
                <w:szCs w:val="30"/>
              </w:rPr>
              <w:t>积极推动江苏公共建筑能源医院发展，率先实现省级能效诊断平台本地化部署，打通智慧诊断</w:t>
            </w:r>
            <w:r>
              <w:rPr>
                <w:bCs/>
                <w:kern w:val="2"/>
                <w:sz w:val="28"/>
                <w:szCs w:val="30"/>
              </w:rPr>
              <w:t>“</w:t>
            </w:r>
            <w:r>
              <w:rPr>
                <w:bCs/>
                <w:kern w:val="2"/>
                <w:sz w:val="28"/>
                <w:szCs w:val="30"/>
              </w:rPr>
              <w:t>最后一公里</w:t>
            </w:r>
            <w:r>
              <w:rPr>
                <w:bCs/>
                <w:kern w:val="2"/>
                <w:sz w:val="28"/>
                <w:szCs w:val="30"/>
              </w:rPr>
              <w:t>”</w:t>
            </w:r>
            <w:r>
              <w:rPr>
                <w:bCs/>
                <w:kern w:val="2"/>
                <w:sz w:val="28"/>
                <w:szCs w:val="30"/>
              </w:rPr>
              <w:t>；将能效服务深度融入绿色低碳示范区、</w:t>
            </w:r>
            <w:proofErr w:type="gramStart"/>
            <w:r>
              <w:rPr>
                <w:bCs/>
                <w:kern w:val="2"/>
                <w:sz w:val="28"/>
                <w:szCs w:val="30"/>
              </w:rPr>
              <w:t>零碳园区</w:t>
            </w:r>
            <w:proofErr w:type="gramEnd"/>
            <w:r>
              <w:rPr>
                <w:bCs/>
                <w:kern w:val="2"/>
                <w:sz w:val="28"/>
                <w:szCs w:val="30"/>
              </w:rPr>
              <w:t>建设，为公共建筑低碳转型提供了可复制的</w:t>
            </w:r>
            <w:r>
              <w:rPr>
                <w:bCs/>
                <w:kern w:val="2"/>
                <w:sz w:val="28"/>
                <w:szCs w:val="30"/>
              </w:rPr>
              <w:t>“</w:t>
            </w:r>
            <w:r>
              <w:rPr>
                <w:bCs/>
                <w:kern w:val="2"/>
                <w:sz w:val="28"/>
                <w:szCs w:val="30"/>
              </w:rPr>
              <w:t>盐城方案</w:t>
            </w:r>
            <w:r>
              <w:rPr>
                <w:bCs/>
                <w:kern w:val="2"/>
                <w:sz w:val="28"/>
                <w:szCs w:val="30"/>
              </w:rPr>
              <w:t>”</w:t>
            </w:r>
            <w:r>
              <w:rPr>
                <w:bCs/>
                <w:kern w:val="2"/>
                <w:sz w:val="28"/>
                <w:szCs w:val="30"/>
              </w:rPr>
              <w:t>；重点打造全省首个</w:t>
            </w:r>
            <w:r>
              <w:rPr>
                <w:bCs/>
                <w:kern w:val="2"/>
                <w:sz w:val="28"/>
                <w:szCs w:val="30"/>
              </w:rPr>
              <w:t>“</w:t>
            </w:r>
            <w:r>
              <w:rPr>
                <w:bCs/>
                <w:kern w:val="2"/>
                <w:sz w:val="28"/>
                <w:szCs w:val="30"/>
              </w:rPr>
              <w:t>地热</w:t>
            </w:r>
            <w:r>
              <w:rPr>
                <w:bCs/>
                <w:kern w:val="2"/>
                <w:sz w:val="28"/>
                <w:szCs w:val="30"/>
              </w:rPr>
              <w:t>+”</w:t>
            </w:r>
            <w:r>
              <w:rPr>
                <w:bCs/>
                <w:kern w:val="2"/>
                <w:sz w:val="28"/>
                <w:szCs w:val="30"/>
              </w:rPr>
              <w:t>多能互补利用示范项目，结合太阳能光</w:t>
            </w:r>
            <w:proofErr w:type="gramStart"/>
            <w:r>
              <w:rPr>
                <w:bCs/>
                <w:kern w:val="2"/>
                <w:sz w:val="28"/>
                <w:szCs w:val="30"/>
              </w:rPr>
              <w:t>伏建筑</w:t>
            </w:r>
            <w:proofErr w:type="gramEnd"/>
            <w:r>
              <w:rPr>
                <w:bCs/>
                <w:kern w:val="2"/>
                <w:sz w:val="28"/>
                <w:szCs w:val="30"/>
              </w:rPr>
              <w:t>一体化，构建多能协同供应体系。</w:t>
            </w:r>
          </w:p>
        </w:tc>
      </w:tr>
      <w:tr w:rsidR="00A908CA" w:rsidTr="001C477C">
        <w:trPr>
          <w:jc w:val="center"/>
        </w:trPr>
        <w:tc>
          <w:tcPr>
            <w:tcW w:w="709" w:type="dxa"/>
            <w:vMerge/>
            <w:vAlign w:val="center"/>
          </w:tcPr>
          <w:p w:rsidR="00A908CA" w:rsidRDefault="00A908CA" w:rsidP="001C477C">
            <w:pPr>
              <w:autoSpaceDE/>
              <w:autoSpaceDN/>
              <w:spacing w:line="240" w:lineRule="auto"/>
              <w:ind w:firstLine="0"/>
              <w:jc w:val="center"/>
              <w:rPr>
                <w:bCs/>
                <w:kern w:val="2"/>
                <w:sz w:val="28"/>
                <w:szCs w:val="28"/>
              </w:rPr>
            </w:pPr>
          </w:p>
        </w:tc>
        <w:tc>
          <w:tcPr>
            <w:tcW w:w="1156" w:type="dxa"/>
            <w:vMerge/>
            <w:vAlign w:val="center"/>
          </w:tcPr>
          <w:p w:rsidR="00A908CA" w:rsidRDefault="00A908CA" w:rsidP="001C477C">
            <w:pPr>
              <w:autoSpaceDE/>
              <w:autoSpaceDN/>
              <w:spacing w:line="240" w:lineRule="auto"/>
              <w:ind w:firstLine="0"/>
              <w:jc w:val="center"/>
              <w:rPr>
                <w:bCs/>
                <w:kern w:val="2"/>
                <w:sz w:val="28"/>
                <w:szCs w:val="28"/>
              </w:rPr>
            </w:pPr>
          </w:p>
        </w:tc>
        <w:tc>
          <w:tcPr>
            <w:tcW w:w="1455" w:type="dxa"/>
            <w:vAlign w:val="center"/>
          </w:tcPr>
          <w:p w:rsidR="00A908CA" w:rsidRDefault="0091368A" w:rsidP="001C477C">
            <w:pPr>
              <w:autoSpaceDE/>
              <w:autoSpaceDN/>
              <w:spacing w:line="240" w:lineRule="auto"/>
              <w:ind w:firstLine="0"/>
              <w:jc w:val="center"/>
              <w:rPr>
                <w:b/>
                <w:bCs/>
                <w:kern w:val="2"/>
                <w:szCs w:val="28"/>
              </w:rPr>
            </w:pPr>
            <w:r>
              <w:rPr>
                <w:b/>
                <w:bCs/>
                <w:kern w:val="2"/>
                <w:szCs w:val="28"/>
              </w:rPr>
              <w:t>（二）</w:t>
            </w:r>
          </w:p>
          <w:p w:rsidR="00A908CA" w:rsidRDefault="0091368A" w:rsidP="001C477C">
            <w:pPr>
              <w:autoSpaceDE/>
              <w:autoSpaceDN/>
              <w:spacing w:line="240" w:lineRule="auto"/>
              <w:ind w:firstLine="0"/>
              <w:jc w:val="center"/>
              <w:rPr>
                <w:bCs/>
                <w:kern w:val="2"/>
                <w:sz w:val="28"/>
                <w:szCs w:val="28"/>
              </w:rPr>
            </w:pPr>
            <w:r>
              <w:rPr>
                <w:b/>
                <w:bCs/>
                <w:kern w:val="2"/>
                <w:szCs w:val="28"/>
              </w:rPr>
              <w:t>标准指南制定</w:t>
            </w:r>
          </w:p>
        </w:tc>
        <w:tc>
          <w:tcPr>
            <w:tcW w:w="11618" w:type="dxa"/>
            <w:vAlign w:val="center"/>
          </w:tcPr>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南京市</w:t>
            </w:r>
            <w:r>
              <w:rPr>
                <w:bCs/>
                <w:kern w:val="2"/>
                <w:sz w:val="28"/>
                <w:szCs w:val="30"/>
              </w:rPr>
              <w:t>印发《关于进一步加强建筑垃圾资源化利用再生产品推广应用工作的实施方案（试行）》，要求政府投资工程的适用部位使用再生产品的比例不低于</w:t>
            </w:r>
            <w:r>
              <w:rPr>
                <w:bCs/>
                <w:kern w:val="2"/>
                <w:sz w:val="28"/>
                <w:szCs w:val="30"/>
              </w:rPr>
              <w:t>15%</w:t>
            </w:r>
            <w:r>
              <w:rPr>
                <w:bCs/>
                <w:kern w:val="2"/>
                <w:sz w:val="28"/>
                <w:szCs w:val="30"/>
              </w:rPr>
              <w:t>，以刚性约束推动再生产品规模化应用。</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无锡市</w:t>
            </w:r>
            <w:r>
              <w:rPr>
                <w:bCs/>
                <w:kern w:val="2"/>
                <w:sz w:val="28"/>
                <w:szCs w:val="30"/>
              </w:rPr>
              <w:t>在全省率先提出新建民用建筑全部执行二星级及以上的绿色建筑标准，</w:t>
            </w:r>
            <w:r>
              <w:rPr>
                <w:bCs/>
                <w:kern w:val="2"/>
                <w:sz w:val="28"/>
                <w:szCs w:val="30"/>
              </w:rPr>
              <w:t>2021</w:t>
            </w:r>
            <w:r>
              <w:rPr>
                <w:bCs/>
                <w:kern w:val="2"/>
                <w:sz w:val="28"/>
                <w:szCs w:val="30"/>
              </w:rPr>
              <w:t>年开始明确要求单体建筑面积</w:t>
            </w:r>
            <w:r>
              <w:rPr>
                <w:bCs/>
                <w:kern w:val="2"/>
                <w:sz w:val="28"/>
                <w:szCs w:val="30"/>
              </w:rPr>
              <w:t>2</w:t>
            </w:r>
            <w:r>
              <w:rPr>
                <w:bCs/>
                <w:kern w:val="2"/>
                <w:sz w:val="28"/>
                <w:szCs w:val="30"/>
              </w:rPr>
              <w:t>万平方米以上的大型公共建筑按照绿色建筑三星级标准设计建造。</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lastRenderedPageBreak/>
              <w:t>常州市</w:t>
            </w:r>
            <w:r>
              <w:rPr>
                <w:bCs/>
                <w:kern w:val="2"/>
                <w:sz w:val="28"/>
                <w:szCs w:val="30"/>
              </w:rPr>
              <w:t>全面推进城镇新建建筑按超低能耗标准设计建造，建成超低能耗建筑示范项目综合节能率超</w:t>
            </w:r>
            <w:r>
              <w:rPr>
                <w:bCs/>
                <w:kern w:val="2"/>
                <w:sz w:val="28"/>
                <w:szCs w:val="30"/>
              </w:rPr>
              <w:t>90%</w:t>
            </w:r>
            <w:r>
              <w:rPr>
                <w:bCs/>
                <w:kern w:val="2"/>
                <w:sz w:val="28"/>
                <w:szCs w:val="30"/>
              </w:rPr>
              <w:t>，带动全市超低能耗建筑规模稳步扩大。</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淮安市</w:t>
            </w:r>
            <w:r>
              <w:rPr>
                <w:bCs/>
                <w:kern w:val="2"/>
                <w:sz w:val="28"/>
                <w:szCs w:val="30"/>
              </w:rPr>
              <w:t>聚焦建筑垃圾资源化利用与低碳发展目标，开展建筑垃圾处理、再生利用专题工作，印发《淮安市建筑垃圾再生产品应用技术导则》，规范建筑垃圾再生产品技术要求、应用范围与推广方式，实现源头管控与过程引导，推动建材行业绿色低碳转型与城乡建设节能降碳。</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盐城市</w:t>
            </w:r>
            <w:r w:rsidR="00BF6DDA">
              <w:rPr>
                <w:bCs/>
                <w:kern w:val="2"/>
                <w:sz w:val="28"/>
                <w:szCs w:val="30"/>
              </w:rPr>
              <w:t>印发《关于印发盐城市公共建筑合理用能指标的通知》，</w:t>
            </w:r>
            <w:r w:rsidR="00BF6DDA">
              <w:rPr>
                <w:rFonts w:hint="eastAsia"/>
                <w:bCs/>
                <w:kern w:val="2"/>
                <w:sz w:val="28"/>
                <w:szCs w:val="30"/>
              </w:rPr>
              <w:t>推动</w:t>
            </w:r>
            <w:r>
              <w:rPr>
                <w:bCs/>
                <w:kern w:val="2"/>
                <w:sz w:val="28"/>
                <w:szCs w:val="30"/>
              </w:rPr>
              <w:t>公共建筑节能水平</w:t>
            </w:r>
            <w:r w:rsidR="00BF6DDA">
              <w:rPr>
                <w:bCs/>
                <w:kern w:val="2"/>
                <w:sz w:val="28"/>
                <w:szCs w:val="30"/>
              </w:rPr>
              <w:t>提升</w:t>
            </w:r>
            <w:r>
              <w:rPr>
                <w:bCs/>
                <w:kern w:val="2"/>
                <w:sz w:val="28"/>
                <w:szCs w:val="30"/>
              </w:rPr>
              <w:t>；印发《关于进一步明确公共建筑执行绿色建筑标准的通知》，</w:t>
            </w:r>
            <w:r w:rsidR="00BF6DDA">
              <w:rPr>
                <w:rFonts w:hint="eastAsia"/>
                <w:bCs/>
                <w:kern w:val="2"/>
                <w:sz w:val="28"/>
                <w:szCs w:val="30"/>
              </w:rPr>
              <w:t>有序提高</w:t>
            </w:r>
            <w:r>
              <w:rPr>
                <w:bCs/>
                <w:kern w:val="2"/>
                <w:sz w:val="28"/>
                <w:szCs w:val="30"/>
              </w:rPr>
              <w:t>公共建筑星级标准。</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宿迁市</w:t>
            </w:r>
            <w:r>
              <w:rPr>
                <w:bCs/>
                <w:kern w:val="2"/>
                <w:sz w:val="28"/>
                <w:szCs w:val="30"/>
              </w:rPr>
              <w:t>制定差异化能耗限额指标，印发《宿迁市公共建筑合理用能指南》，以量化标准指导各类公共建筑日常节能运维，持续提升建筑整体能效水平。</w:t>
            </w:r>
          </w:p>
        </w:tc>
      </w:tr>
      <w:tr w:rsidR="00A908CA" w:rsidTr="001C477C">
        <w:trPr>
          <w:jc w:val="center"/>
        </w:trPr>
        <w:tc>
          <w:tcPr>
            <w:tcW w:w="709" w:type="dxa"/>
            <w:vMerge w:val="restart"/>
            <w:vAlign w:val="center"/>
          </w:tcPr>
          <w:p w:rsidR="00A908CA" w:rsidRDefault="0091368A" w:rsidP="001C477C">
            <w:pPr>
              <w:autoSpaceDE/>
              <w:autoSpaceDN/>
              <w:spacing w:line="240" w:lineRule="auto"/>
              <w:ind w:firstLine="0"/>
              <w:jc w:val="center"/>
              <w:rPr>
                <w:rFonts w:eastAsia="方正黑体_GBK"/>
                <w:bCs/>
                <w:kern w:val="2"/>
                <w:sz w:val="28"/>
                <w:szCs w:val="28"/>
              </w:rPr>
            </w:pPr>
            <w:r>
              <w:rPr>
                <w:rFonts w:eastAsia="方正黑体_GBK"/>
                <w:bCs/>
                <w:kern w:val="2"/>
                <w:sz w:val="28"/>
                <w:szCs w:val="28"/>
              </w:rPr>
              <w:lastRenderedPageBreak/>
              <w:t>三</w:t>
            </w:r>
          </w:p>
        </w:tc>
        <w:tc>
          <w:tcPr>
            <w:tcW w:w="1156" w:type="dxa"/>
            <w:vMerge w:val="restart"/>
            <w:vAlign w:val="center"/>
          </w:tcPr>
          <w:p w:rsidR="00A908CA" w:rsidRDefault="0091368A" w:rsidP="001C477C">
            <w:pPr>
              <w:autoSpaceDE/>
              <w:autoSpaceDN/>
              <w:spacing w:line="240" w:lineRule="auto"/>
              <w:ind w:firstLine="0"/>
              <w:jc w:val="center"/>
              <w:rPr>
                <w:rFonts w:eastAsia="方正黑体_GBK"/>
                <w:bCs/>
                <w:kern w:val="2"/>
                <w:sz w:val="28"/>
                <w:szCs w:val="28"/>
              </w:rPr>
            </w:pPr>
            <w:r>
              <w:rPr>
                <w:rFonts w:eastAsia="方正黑体_GBK"/>
                <w:bCs/>
                <w:kern w:val="2"/>
                <w:sz w:val="28"/>
                <w:szCs w:val="28"/>
              </w:rPr>
              <w:t>发展</w:t>
            </w:r>
          </w:p>
          <w:p w:rsidR="00A908CA" w:rsidRDefault="0091368A" w:rsidP="001C477C">
            <w:pPr>
              <w:autoSpaceDE/>
              <w:autoSpaceDN/>
              <w:spacing w:line="240" w:lineRule="auto"/>
              <w:ind w:firstLine="0"/>
              <w:jc w:val="center"/>
              <w:rPr>
                <w:bCs/>
                <w:kern w:val="2"/>
                <w:sz w:val="28"/>
                <w:szCs w:val="28"/>
              </w:rPr>
            </w:pPr>
            <w:r>
              <w:rPr>
                <w:rFonts w:eastAsia="方正黑体_GBK"/>
                <w:bCs/>
                <w:kern w:val="2"/>
                <w:sz w:val="28"/>
                <w:szCs w:val="28"/>
              </w:rPr>
              <w:t>创新</w:t>
            </w:r>
          </w:p>
        </w:tc>
        <w:tc>
          <w:tcPr>
            <w:tcW w:w="1455" w:type="dxa"/>
            <w:vAlign w:val="center"/>
          </w:tcPr>
          <w:p w:rsidR="00A908CA" w:rsidRDefault="0091368A" w:rsidP="001C477C">
            <w:pPr>
              <w:autoSpaceDE/>
              <w:autoSpaceDN/>
              <w:spacing w:line="240" w:lineRule="auto"/>
              <w:ind w:firstLine="0"/>
              <w:jc w:val="center"/>
              <w:rPr>
                <w:b/>
                <w:bCs/>
                <w:kern w:val="2"/>
                <w:szCs w:val="28"/>
              </w:rPr>
            </w:pPr>
            <w:r>
              <w:rPr>
                <w:b/>
                <w:bCs/>
                <w:kern w:val="2"/>
                <w:szCs w:val="28"/>
              </w:rPr>
              <w:t>（一）</w:t>
            </w:r>
          </w:p>
          <w:p w:rsidR="00A908CA" w:rsidRDefault="0091368A" w:rsidP="001C477C">
            <w:pPr>
              <w:autoSpaceDE/>
              <w:autoSpaceDN/>
              <w:spacing w:line="240" w:lineRule="auto"/>
              <w:ind w:firstLine="0"/>
              <w:jc w:val="center"/>
              <w:rPr>
                <w:bCs/>
                <w:kern w:val="2"/>
                <w:sz w:val="28"/>
                <w:szCs w:val="28"/>
              </w:rPr>
            </w:pPr>
            <w:r>
              <w:rPr>
                <w:b/>
                <w:bCs/>
                <w:kern w:val="2"/>
                <w:szCs w:val="28"/>
              </w:rPr>
              <w:t>创新管理措施</w:t>
            </w:r>
          </w:p>
        </w:tc>
        <w:tc>
          <w:tcPr>
            <w:tcW w:w="11618" w:type="dxa"/>
            <w:vAlign w:val="center"/>
          </w:tcPr>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徐州市</w:t>
            </w:r>
            <w:r>
              <w:rPr>
                <w:bCs/>
                <w:kern w:val="2"/>
                <w:sz w:val="28"/>
                <w:szCs w:val="30"/>
              </w:rPr>
              <w:t>以智能建造替代为核心路径推进</w:t>
            </w:r>
            <w:proofErr w:type="gramStart"/>
            <w:r>
              <w:rPr>
                <w:bCs/>
                <w:kern w:val="2"/>
                <w:sz w:val="28"/>
                <w:szCs w:val="30"/>
              </w:rPr>
              <w:t>建筑节能降碳与</w:t>
            </w:r>
            <w:proofErr w:type="gramEnd"/>
            <w:r>
              <w:rPr>
                <w:bCs/>
                <w:kern w:val="2"/>
                <w:sz w:val="28"/>
                <w:szCs w:val="30"/>
              </w:rPr>
              <w:t>绿色转型。依托</w:t>
            </w:r>
            <w:r>
              <w:rPr>
                <w:bCs/>
                <w:kern w:val="2"/>
                <w:sz w:val="28"/>
                <w:szCs w:val="30"/>
              </w:rPr>
              <w:t>BIM</w:t>
            </w:r>
            <w:r>
              <w:rPr>
                <w:bCs/>
                <w:kern w:val="2"/>
                <w:sz w:val="28"/>
                <w:szCs w:val="30"/>
              </w:rPr>
              <w:t>全专业协同优化，有效提升空间利用效率与建造品质，显著降低建造环节能耗与碳排放。</w:t>
            </w:r>
          </w:p>
          <w:p w:rsidR="00A908CA" w:rsidRDefault="0091368A" w:rsidP="001C477C">
            <w:pPr>
              <w:autoSpaceDE/>
              <w:autoSpaceDN/>
              <w:adjustRightInd w:val="0"/>
              <w:spacing w:line="240" w:lineRule="auto"/>
              <w:ind w:firstLineChars="200" w:firstLine="552"/>
              <w:jc w:val="left"/>
              <w:rPr>
                <w:bCs/>
                <w:kern w:val="2"/>
                <w:sz w:val="28"/>
                <w:szCs w:val="30"/>
              </w:rPr>
            </w:pPr>
            <w:r>
              <w:rPr>
                <w:b/>
                <w:bCs/>
                <w:kern w:val="2"/>
                <w:sz w:val="28"/>
                <w:szCs w:val="30"/>
              </w:rPr>
              <w:t>苏州市</w:t>
            </w:r>
            <w:r>
              <w:rPr>
                <w:bCs/>
                <w:kern w:val="2"/>
                <w:sz w:val="28"/>
                <w:szCs w:val="30"/>
              </w:rPr>
              <w:t>立足本地制造业与建筑业优势，</w:t>
            </w:r>
            <w:bookmarkStart w:id="10" w:name="OLE_LINK16"/>
            <w:bookmarkStart w:id="11" w:name="OLE_LINK17"/>
            <w:r>
              <w:rPr>
                <w:bCs/>
                <w:kern w:val="2"/>
                <w:sz w:val="28"/>
                <w:szCs w:val="30"/>
              </w:rPr>
              <w:t>明确至</w:t>
            </w:r>
            <w:r>
              <w:rPr>
                <w:bCs/>
                <w:kern w:val="2"/>
                <w:sz w:val="28"/>
                <w:szCs w:val="30"/>
              </w:rPr>
              <w:t>2028</w:t>
            </w:r>
            <w:r>
              <w:rPr>
                <w:bCs/>
                <w:kern w:val="2"/>
                <w:sz w:val="28"/>
                <w:szCs w:val="30"/>
              </w:rPr>
              <w:t>年</w:t>
            </w:r>
            <w:r>
              <w:rPr>
                <w:bCs/>
                <w:kern w:val="2"/>
                <w:sz w:val="28"/>
                <w:szCs w:val="30"/>
              </w:rPr>
              <w:t>“</w:t>
            </w:r>
            <w:r>
              <w:rPr>
                <w:bCs/>
                <w:kern w:val="2"/>
                <w:sz w:val="28"/>
                <w:szCs w:val="30"/>
              </w:rPr>
              <w:t>一套政策体系、一条完整产业链、</w:t>
            </w:r>
            <w:r>
              <w:rPr>
                <w:bCs/>
                <w:kern w:val="2"/>
                <w:sz w:val="28"/>
                <w:szCs w:val="30"/>
              </w:rPr>
              <w:t>N</w:t>
            </w:r>
            <w:r>
              <w:rPr>
                <w:bCs/>
                <w:kern w:val="2"/>
                <w:sz w:val="28"/>
                <w:szCs w:val="30"/>
              </w:rPr>
              <w:t>家创新企业</w:t>
            </w:r>
            <w:r>
              <w:rPr>
                <w:bCs/>
                <w:kern w:val="2"/>
                <w:sz w:val="28"/>
                <w:szCs w:val="30"/>
              </w:rPr>
              <w:t>”</w:t>
            </w:r>
            <w:r>
              <w:rPr>
                <w:bCs/>
                <w:kern w:val="2"/>
                <w:sz w:val="28"/>
                <w:szCs w:val="30"/>
              </w:rPr>
              <w:t>的发展目标，细化四大板块</w:t>
            </w:r>
            <w:r>
              <w:rPr>
                <w:bCs/>
                <w:kern w:val="2"/>
                <w:sz w:val="28"/>
                <w:szCs w:val="30"/>
              </w:rPr>
              <w:t>16</w:t>
            </w:r>
            <w:r>
              <w:rPr>
                <w:bCs/>
                <w:kern w:val="2"/>
                <w:sz w:val="28"/>
                <w:szCs w:val="30"/>
              </w:rPr>
              <w:t>项重点任务。</w:t>
            </w:r>
            <w:bookmarkEnd w:id="10"/>
            <w:bookmarkEnd w:id="11"/>
          </w:p>
        </w:tc>
      </w:tr>
      <w:tr w:rsidR="00A908CA" w:rsidTr="001C477C">
        <w:trPr>
          <w:jc w:val="center"/>
        </w:trPr>
        <w:tc>
          <w:tcPr>
            <w:tcW w:w="709" w:type="dxa"/>
            <w:vMerge/>
            <w:vAlign w:val="center"/>
          </w:tcPr>
          <w:p w:rsidR="00A908CA" w:rsidRDefault="00A908CA" w:rsidP="001C477C">
            <w:pPr>
              <w:autoSpaceDE/>
              <w:autoSpaceDN/>
              <w:spacing w:line="240" w:lineRule="auto"/>
              <w:ind w:firstLine="0"/>
              <w:jc w:val="center"/>
              <w:rPr>
                <w:bCs/>
                <w:kern w:val="2"/>
                <w:sz w:val="28"/>
                <w:szCs w:val="28"/>
              </w:rPr>
            </w:pPr>
          </w:p>
        </w:tc>
        <w:tc>
          <w:tcPr>
            <w:tcW w:w="1156" w:type="dxa"/>
            <w:vMerge/>
            <w:vAlign w:val="center"/>
          </w:tcPr>
          <w:p w:rsidR="00A908CA" w:rsidRDefault="00A908CA" w:rsidP="001C477C">
            <w:pPr>
              <w:autoSpaceDE/>
              <w:autoSpaceDN/>
              <w:spacing w:line="240" w:lineRule="auto"/>
              <w:ind w:firstLine="0"/>
              <w:jc w:val="center"/>
              <w:rPr>
                <w:bCs/>
                <w:kern w:val="2"/>
                <w:sz w:val="28"/>
                <w:szCs w:val="28"/>
              </w:rPr>
            </w:pPr>
          </w:p>
        </w:tc>
        <w:tc>
          <w:tcPr>
            <w:tcW w:w="1455" w:type="dxa"/>
            <w:vAlign w:val="center"/>
          </w:tcPr>
          <w:p w:rsidR="00A908CA" w:rsidRDefault="0091368A" w:rsidP="001C477C">
            <w:pPr>
              <w:autoSpaceDE/>
              <w:autoSpaceDN/>
              <w:spacing w:line="240" w:lineRule="auto"/>
              <w:ind w:firstLine="0"/>
              <w:jc w:val="center"/>
              <w:rPr>
                <w:b/>
                <w:bCs/>
                <w:kern w:val="2"/>
                <w:szCs w:val="28"/>
              </w:rPr>
            </w:pPr>
            <w:r>
              <w:rPr>
                <w:b/>
                <w:bCs/>
                <w:kern w:val="2"/>
                <w:szCs w:val="28"/>
              </w:rPr>
              <w:t>（二）</w:t>
            </w:r>
          </w:p>
          <w:p w:rsidR="00A908CA" w:rsidRDefault="0091368A" w:rsidP="001C477C">
            <w:pPr>
              <w:autoSpaceDE/>
              <w:autoSpaceDN/>
              <w:spacing w:line="240" w:lineRule="auto"/>
              <w:ind w:firstLine="0"/>
              <w:jc w:val="center"/>
              <w:rPr>
                <w:b/>
                <w:bCs/>
                <w:kern w:val="2"/>
                <w:szCs w:val="28"/>
              </w:rPr>
            </w:pPr>
            <w:r>
              <w:rPr>
                <w:b/>
                <w:bCs/>
                <w:kern w:val="2"/>
                <w:szCs w:val="28"/>
              </w:rPr>
              <w:t>先导区</w:t>
            </w:r>
          </w:p>
          <w:p w:rsidR="00A908CA" w:rsidRDefault="0091368A" w:rsidP="001C477C">
            <w:pPr>
              <w:autoSpaceDE/>
              <w:autoSpaceDN/>
              <w:spacing w:line="240" w:lineRule="auto"/>
              <w:ind w:firstLine="0"/>
              <w:jc w:val="center"/>
              <w:rPr>
                <w:bCs/>
                <w:kern w:val="2"/>
                <w:sz w:val="28"/>
                <w:szCs w:val="28"/>
              </w:rPr>
            </w:pPr>
            <w:r>
              <w:rPr>
                <w:b/>
                <w:bCs/>
                <w:kern w:val="2"/>
                <w:szCs w:val="28"/>
              </w:rPr>
              <w:t>建设</w:t>
            </w:r>
          </w:p>
        </w:tc>
        <w:tc>
          <w:tcPr>
            <w:tcW w:w="11618" w:type="dxa"/>
            <w:vAlign w:val="center"/>
          </w:tcPr>
          <w:p w:rsidR="001C477C" w:rsidRDefault="0091368A" w:rsidP="001C477C">
            <w:pPr>
              <w:autoSpaceDE/>
              <w:autoSpaceDN/>
              <w:spacing w:line="240" w:lineRule="auto"/>
              <w:ind w:firstLineChars="200" w:firstLine="552"/>
              <w:jc w:val="left"/>
              <w:rPr>
                <w:bCs/>
                <w:kern w:val="2"/>
                <w:sz w:val="28"/>
                <w:szCs w:val="30"/>
              </w:rPr>
            </w:pPr>
            <w:r>
              <w:rPr>
                <w:b/>
                <w:bCs/>
                <w:kern w:val="2"/>
                <w:sz w:val="28"/>
                <w:szCs w:val="30"/>
              </w:rPr>
              <w:t>无锡、苏州、常州、盐城市</w:t>
            </w:r>
            <w:r>
              <w:rPr>
                <w:bCs/>
                <w:kern w:val="2"/>
                <w:sz w:val="28"/>
                <w:szCs w:val="30"/>
              </w:rPr>
              <w:t>在城乡建设</w:t>
            </w:r>
            <w:proofErr w:type="gramStart"/>
            <w:r>
              <w:rPr>
                <w:bCs/>
                <w:kern w:val="2"/>
                <w:sz w:val="28"/>
                <w:szCs w:val="30"/>
              </w:rPr>
              <w:t>碳达峰碳</w:t>
            </w:r>
            <w:proofErr w:type="gramEnd"/>
            <w:r>
              <w:rPr>
                <w:bCs/>
                <w:kern w:val="2"/>
                <w:sz w:val="28"/>
                <w:szCs w:val="30"/>
              </w:rPr>
              <w:t>中和先导区推进过程中先后形成可复制有成效的城区</w:t>
            </w:r>
            <w:proofErr w:type="gramStart"/>
            <w:r>
              <w:rPr>
                <w:bCs/>
                <w:kern w:val="2"/>
                <w:sz w:val="28"/>
                <w:szCs w:val="30"/>
              </w:rPr>
              <w:t>节能降碳经验</w:t>
            </w:r>
            <w:proofErr w:type="gramEnd"/>
            <w:r w:rsidR="001C477C">
              <w:rPr>
                <w:rFonts w:hint="eastAsia"/>
                <w:bCs/>
                <w:kern w:val="2"/>
                <w:sz w:val="28"/>
                <w:szCs w:val="30"/>
              </w:rPr>
              <w:t>：</w:t>
            </w:r>
          </w:p>
          <w:p w:rsidR="00A908CA" w:rsidRDefault="0091368A" w:rsidP="001C477C">
            <w:pPr>
              <w:autoSpaceDE/>
              <w:autoSpaceDN/>
              <w:spacing w:line="240" w:lineRule="auto"/>
              <w:ind w:firstLineChars="200" w:firstLine="550"/>
              <w:jc w:val="left"/>
              <w:rPr>
                <w:bCs/>
                <w:kern w:val="2"/>
                <w:sz w:val="28"/>
                <w:szCs w:val="28"/>
              </w:rPr>
            </w:pPr>
            <w:r>
              <w:rPr>
                <w:bCs/>
                <w:kern w:val="2"/>
                <w:sz w:val="28"/>
                <w:szCs w:val="30"/>
              </w:rPr>
              <w:t>一是规划先行，编制城乡建设领域</w:t>
            </w:r>
            <w:proofErr w:type="gramStart"/>
            <w:r>
              <w:rPr>
                <w:bCs/>
                <w:kern w:val="2"/>
                <w:sz w:val="28"/>
                <w:szCs w:val="30"/>
              </w:rPr>
              <w:t>碳达峰相关</w:t>
            </w:r>
            <w:proofErr w:type="gramEnd"/>
            <w:r>
              <w:rPr>
                <w:bCs/>
                <w:kern w:val="2"/>
                <w:sz w:val="28"/>
                <w:szCs w:val="30"/>
              </w:rPr>
              <w:t>专业规划，制定绿色低碳发展建设目标和指标统计考核制度。二是推进碳</w:t>
            </w:r>
            <w:proofErr w:type="gramStart"/>
            <w:r>
              <w:rPr>
                <w:bCs/>
                <w:kern w:val="2"/>
                <w:sz w:val="28"/>
                <w:szCs w:val="30"/>
              </w:rPr>
              <w:t>排放减源增汇</w:t>
            </w:r>
            <w:proofErr w:type="gramEnd"/>
            <w:r>
              <w:rPr>
                <w:bCs/>
                <w:kern w:val="2"/>
                <w:sz w:val="28"/>
                <w:szCs w:val="30"/>
              </w:rPr>
              <w:t>，新建建筑全部采用二星级以上标准设计建设，结合实际开展</w:t>
            </w:r>
            <w:proofErr w:type="gramStart"/>
            <w:r>
              <w:rPr>
                <w:bCs/>
                <w:kern w:val="2"/>
                <w:sz w:val="28"/>
                <w:szCs w:val="30"/>
              </w:rPr>
              <w:t>近零碳排放</w:t>
            </w:r>
            <w:proofErr w:type="gramEnd"/>
            <w:r>
              <w:rPr>
                <w:bCs/>
                <w:kern w:val="2"/>
                <w:sz w:val="28"/>
                <w:szCs w:val="30"/>
              </w:rPr>
              <w:t>园区、社区或校区建设，提高超低能耗建筑占比，推动建筑光伏一体化建设和既有公共建筑绿色改造。三是加快绿色低碳基础设施建设，控制建筑垃圾排放量，提高建筑垃圾综合利用率和资源化利用率，降低供水管网漏损率，提升绿化覆盖率。</w:t>
            </w:r>
            <w:r>
              <w:rPr>
                <w:rFonts w:hint="eastAsia"/>
                <w:bCs/>
                <w:kern w:val="2"/>
                <w:sz w:val="28"/>
                <w:szCs w:val="30"/>
              </w:rPr>
              <w:t>四</w:t>
            </w:r>
            <w:r>
              <w:rPr>
                <w:bCs/>
                <w:kern w:val="2"/>
                <w:sz w:val="28"/>
                <w:szCs w:val="30"/>
              </w:rPr>
              <w:t>是推动绿色</w:t>
            </w:r>
            <w:r>
              <w:rPr>
                <w:bCs/>
                <w:kern w:val="2"/>
                <w:sz w:val="28"/>
                <w:szCs w:val="30"/>
              </w:rPr>
              <w:lastRenderedPageBreak/>
              <w:t>社区和新型农村社区建设，因地制宜推进可再生能源在农房中应用。</w:t>
            </w:r>
            <w:r>
              <w:rPr>
                <w:rFonts w:hint="eastAsia"/>
                <w:bCs/>
                <w:kern w:val="2"/>
                <w:sz w:val="28"/>
                <w:szCs w:val="30"/>
              </w:rPr>
              <w:t>五</w:t>
            </w:r>
            <w:r>
              <w:rPr>
                <w:bCs/>
                <w:kern w:val="2"/>
                <w:sz w:val="28"/>
                <w:szCs w:val="30"/>
              </w:rPr>
              <w:t>是积极探索政策机制创新，开发智慧用能管理平台，推动绿色金融支持绿色发展。</w:t>
            </w:r>
            <w:r>
              <w:rPr>
                <w:rFonts w:hint="eastAsia"/>
                <w:bCs/>
                <w:kern w:val="2"/>
                <w:sz w:val="28"/>
                <w:szCs w:val="30"/>
              </w:rPr>
              <w:t>六</w:t>
            </w:r>
            <w:r>
              <w:rPr>
                <w:bCs/>
                <w:kern w:val="2"/>
                <w:sz w:val="28"/>
                <w:szCs w:val="30"/>
              </w:rPr>
              <w:t>是广泛宣传推广，利用江苏绿色低碳建筑国际博览会等平台，宣传绿色低碳生活理念和低碳环保知识。</w:t>
            </w:r>
          </w:p>
        </w:tc>
      </w:tr>
    </w:tbl>
    <w:p w:rsidR="00A908CA" w:rsidRPr="001C477C" w:rsidRDefault="00A908CA" w:rsidP="001C477C">
      <w:pPr>
        <w:adjustRightInd w:val="0"/>
        <w:spacing w:line="570" w:lineRule="exact"/>
        <w:ind w:firstLine="0"/>
        <w:rPr>
          <w:b/>
        </w:rPr>
      </w:pPr>
    </w:p>
    <w:sectPr w:rsidR="00A908CA" w:rsidRPr="001C477C">
      <w:headerReference w:type="default" r:id="rId8"/>
      <w:footerReference w:type="default" r:id="rId9"/>
      <w:pgSz w:w="16838" w:h="11906" w:orient="landscape"/>
      <w:pgMar w:top="1587" w:right="2098" w:bottom="1474" w:left="1985" w:header="720" w:footer="1474" w:gutter="0"/>
      <w:paperSrc w:first="15" w:other="15"/>
      <w:pgNumType w:start="2"/>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E6A" w:rsidRDefault="001F5E6A">
      <w:pPr>
        <w:spacing w:line="240" w:lineRule="auto"/>
      </w:pPr>
      <w:r>
        <w:separator/>
      </w:r>
    </w:p>
  </w:endnote>
  <w:endnote w:type="continuationSeparator" w:id="0">
    <w:p w:rsidR="001F5E6A" w:rsidRDefault="001F5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黑体"/>
    <w:charset w:val="86"/>
    <w:family w:val="modern"/>
    <w:pitch w:val="default"/>
    <w:sig w:usb0="00000001" w:usb1="080E0000" w:usb2="00000010" w:usb3="00000000" w:csb0="00040000" w:csb1="00000000"/>
  </w:font>
  <w:font w:name="汉鼎简黑体">
    <w:altName w:val="Arial Unicode MS"/>
    <w:charset w:val="00"/>
    <w:family w:val="modern"/>
    <w:pitch w:val="default"/>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CA" w:rsidRDefault="0091368A">
    <w:pPr>
      <w:pStyle w:val="a5"/>
      <w:ind w:leftChars="100" w:left="320" w:rightChars="100" w:right="320"/>
    </w:pPr>
    <w:r>
      <w:rPr>
        <w:rFonts w:hint="eastAsia"/>
      </w:rPr>
      <w:t>—</w:t>
    </w:r>
    <w:r>
      <w:rPr>
        <w:rFonts w:hint="eastAsia"/>
      </w:rPr>
      <w:t xml:space="preserve"> </w:t>
    </w:r>
    <w:r>
      <w:rPr>
        <w:rStyle w:val="a8"/>
      </w:rPr>
      <w:fldChar w:fldCharType="begin"/>
    </w:r>
    <w:r>
      <w:rPr>
        <w:rStyle w:val="a8"/>
      </w:rPr>
      <w:instrText xml:space="preserve"> PAGE </w:instrText>
    </w:r>
    <w:r>
      <w:rPr>
        <w:rStyle w:val="a8"/>
      </w:rPr>
      <w:fldChar w:fldCharType="separate"/>
    </w:r>
    <w:r w:rsidR="00B6169D">
      <w:rPr>
        <w:rStyle w:val="a8"/>
        <w:noProof/>
      </w:rPr>
      <w:t>2</w:t>
    </w:r>
    <w:r>
      <w:rPr>
        <w:rStyle w:val="a8"/>
      </w:rPr>
      <w:fldChar w:fldCharType="end"/>
    </w:r>
    <w:r>
      <w:rPr>
        <w:rStyle w:val="a8"/>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E6A" w:rsidRDefault="001F5E6A">
      <w:pPr>
        <w:spacing w:line="240" w:lineRule="auto"/>
      </w:pPr>
      <w:r>
        <w:separator/>
      </w:r>
    </w:p>
  </w:footnote>
  <w:footnote w:type="continuationSeparator" w:id="0">
    <w:p w:rsidR="001F5E6A" w:rsidRDefault="001F5E6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CA" w:rsidRDefault="00A908CA">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5"/>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324D105E"/>
    <w:rsid w:val="8BF77B7E"/>
    <w:rsid w:val="8BFF5861"/>
    <w:rsid w:val="9FF5825E"/>
    <w:rsid w:val="A39EF1A8"/>
    <w:rsid w:val="AFAA5E02"/>
    <w:rsid w:val="BA7B23C6"/>
    <w:rsid w:val="BC9F3D25"/>
    <w:rsid w:val="BED724AB"/>
    <w:rsid w:val="C5B8F59E"/>
    <w:rsid w:val="DE9BB94D"/>
    <w:rsid w:val="DEF8836B"/>
    <w:rsid w:val="DFF6D888"/>
    <w:rsid w:val="F3FEE043"/>
    <w:rsid w:val="F59B639A"/>
    <w:rsid w:val="F6F720E1"/>
    <w:rsid w:val="F7364441"/>
    <w:rsid w:val="F7E703C4"/>
    <w:rsid w:val="FE5F1D21"/>
    <w:rsid w:val="FFD797BB"/>
    <w:rsid w:val="FFDE96F6"/>
    <w:rsid w:val="FFFEAEF7"/>
    <w:rsid w:val="00004491"/>
    <w:rsid w:val="00024D59"/>
    <w:rsid w:val="00026EC9"/>
    <w:rsid w:val="00026F78"/>
    <w:rsid w:val="00036149"/>
    <w:rsid w:val="0003748A"/>
    <w:rsid w:val="000401B4"/>
    <w:rsid w:val="000458F6"/>
    <w:rsid w:val="00066218"/>
    <w:rsid w:val="00086865"/>
    <w:rsid w:val="00092103"/>
    <w:rsid w:val="00150E8C"/>
    <w:rsid w:val="0017326B"/>
    <w:rsid w:val="001A760C"/>
    <w:rsid w:val="001B0021"/>
    <w:rsid w:val="001C477C"/>
    <w:rsid w:val="001F5E6A"/>
    <w:rsid w:val="00203864"/>
    <w:rsid w:val="00210BC5"/>
    <w:rsid w:val="00245BF1"/>
    <w:rsid w:val="0025543A"/>
    <w:rsid w:val="00262A64"/>
    <w:rsid w:val="002675E9"/>
    <w:rsid w:val="002A0CEB"/>
    <w:rsid w:val="002A2BC2"/>
    <w:rsid w:val="002C0002"/>
    <w:rsid w:val="002C5146"/>
    <w:rsid w:val="002C6388"/>
    <w:rsid w:val="002C67E8"/>
    <w:rsid w:val="002D4F06"/>
    <w:rsid w:val="002F1D93"/>
    <w:rsid w:val="003055DA"/>
    <w:rsid w:val="00310770"/>
    <w:rsid w:val="00330812"/>
    <w:rsid w:val="0035559D"/>
    <w:rsid w:val="00362892"/>
    <w:rsid w:val="00364416"/>
    <w:rsid w:val="00375B31"/>
    <w:rsid w:val="00384509"/>
    <w:rsid w:val="003A5A72"/>
    <w:rsid w:val="003B6C15"/>
    <w:rsid w:val="003D4AA7"/>
    <w:rsid w:val="003D78FE"/>
    <w:rsid w:val="003F2C4E"/>
    <w:rsid w:val="003F64DD"/>
    <w:rsid w:val="003F7B7F"/>
    <w:rsid w:val="0043585B"/>
    <w:rsid w:val="00437394"/>
    <w:rsid w:val="00463678"/>
    <w:rsid w:val="00463ECB"/>
    <w:rsid w:val="00472801"/>
    <w:rsid w:val="004C08B1"/>
    <w:rsid w:val="004C5102"/>
    <w:rsid w:val="004C6BE9"/>
    <w:rsid w:val="004E4535"/>
    <w:rsid w:val="004F5C29"/>
    <w:rsid w:val="00514536"/>
    <w:rsid w:val="0053306A"/>
    <w:rsid w:val="005421C5"/>
    <w:rsid w:val="00543517"/>
    <w:rsid w:val="00544264"/>
    <w:rsid w:val="005A0672"/>
    <w:rsid w:val="005A2494"/>
    <w:rsid w:val="00616E15"/>
    <w:rsid w:val="006369EB"/>
    <w:rsid w:val="006558DD"/>
    <w:rsid w:val="00660585"/>
    <w:rsid w:val="00660926"/>
    <w:rsid w:val="00670554"/>
    <w:rsid w:val="00680F42"/>
    <w:rsid w:val="00682696"/>
    <w:rsid w:val="00685E6A"/>
    <w:rsid w:val="006A485E"/>
    <w:rsid w:val="006A7459"/>
    <w:rsid w:val="006C67D5"/>
    <w:rsid w:val="006E15F0"/>
    <w:rsid w:val="006E3482"/>
    <w:rsid w:val="006E59B5"/>
    <w:rsid w:val="006F3ED8"/>
    <w:rsid w:val="00715AE0"/>
    <w:rsid w:val="00731092"/>
    <w:rsid w:val="00765F63"/>
    <w:rsid w:val="00797A5C"/>
    <w:rsid w:val="007A4692"/>
    <w:rsid w:val="007A66C9"/>
    <w:rsid w:val="007E4771"/>
    <w:rsid w:val="007F5FE7"/>
    <w:rsid w:val="008F0BEF"/>
    <w:rsid w:val="0091368A"/>
    <w:rsid w:val="00943877"/>
    <w:rsid w:val="00952A42"/>
    <w:rsid w:val="00975675"/>
    <w:rsid w:val="009B48EF"/>
    <w:rsid w:val="009C0AD6"/>
    <w:rsid w:val="009E34DF"/>
    <w:rsid w:val="00A27EE0"/>
    <w:rsid w:val="00A445C2"/>
    <w:rsid w:val="00A76B0B"/>
    <w:rsid w:val="00A86587"/>
    <w:rsid w:val="00A908CA"/>
    <w:rsid w:val="00A92ABB"/>
    <w:rsid w:val="00AA69E3"/>
    <w:rsid w:val="00AB1867"/>
    <w:rsid w:val="00AE2370"/>
    <w:rsid w:val="00B01DCC"/>
    <w:rsid w:val="00B37374"/>
    <w:rsid w:val="00B46C61"/>
    <w:rsid w:val="00B6169D"/>
    <w:rsid w:val="00B63511"/>
    <w:rsid w:val="00B65B1F"/>
    <w:rsid w:val="00B72473"/>
    <w:rsid w:val="00BF6DDA"/>
    <w:rsid w:val="00BF71F4"/>
    <w:rsid w:val="00C224B9"/>
    <w:rsid w:val="00C25057"/>
    <w:rsid w:val="00C46E27"/>
    <w:rsid w:val="00C64819"/>
    <w:rsid w:val="00C73BD2"/>
    <w:rsid w:val="00C818C1"/>
    <w:rsid w:val="00C92E22"/>
    <w:rsid w:val="00D03EA7"/>
    <w:rsid w:val="00D46BD8"/>
    <w:rsid w:val="00D82CAA"/>
    <w:rsid w:val="00DA7B8C"/>
    <w:rsid w:val="00DC1B78"/>
    <w:rsid w:val="00DC2B60"/>
    <w:rsid w:val="00DE6B66"/>
    <w:rsid w:val="00E02156"/>
    <w:rsid w:val="00E303F3"/>
    <w:rsid w:val="00E977D6"/>
    <w:rsid w:val="00EA0244"/>
    <w:rsid w:val="00EB24AF"/>
    <w:rsid w:val="00EC0461"/>
    <w:rsid w:val="00ED2642"/>
    <w:rsid w:val="00F21213"/>
    <w:rsid w:val="00F275D7"/>
    <w:rsid w:val="00F27CB0"/>
    <w:rsid w:val="00F33B1C"/>
    <w:rsid w:val="00F42CF8"/>
    <w:rsid w:val="00F53AAD"/>
    <w:rsid w:val="00F90B02"/>
    <w:rsid w:val="00FE33C9"/>
    <w:rsid w:val="00FE5867"/>
    <w:rsid w:val="034877EC"/>
    <w:rsid w:val="09EC7123"/>
    <w:rsid w:val="0A9C4262"/>
    <w:rsid w:val="0B8E5FB8"/>
    <w:rsid w:val="0DDE3227"/>
    <w:rsid w:val="12AA7B7B"/>
    <w:rsid w:val="131821D8"/>
    <w:rsid w:val="18A84090"/>
    <w:rsid w:val="1C5172BA"/>
    <w:rsid w:val="21ED1832"/>
    <w:rsid w:val="291A637D"/>
    <w:rsid w:val="2D834DF9"/>
    <w:rsid w:val="2D9A2E53"/>
    <w:rsid w:val="324D105E"/>
    <w:rsid w:val="389D76B7"/>
    <w:rsid w:val="3BB25292"/>
    <w:rsid w:val="3D3954D4"/>
    <w:rsid w:val="3FFFE29C"/>
    <w:rsid w:val="436A288B"/>
    <w:rsid w:val="52A95F39"/>
    <w:rsid w:val="5A201A9E"/>
    <w:rsid w:val="5D0443B2"/>
    <w:rsid w:val="5D0B03C3"/>
    <w:rsid w:val="5E7B768A"/>
    <w:rsid w:val="5ED7A552"/>
    <w:rsid w:val="65AF443E"/>
    <w:rsid w:val="67270472"/>
    <w:rsid w:val="6CF9D4FF"/>
    <w:rsid w:val="6F5B47E9"/>
    <w:rsid w:val="6F7B1599"/>
    <w:rsid w:val="6FFF732F"/>
    <w:rsid w:val="73FF05FB"/>
    <w:rsid w:val="75330480"/>
    <w:rsid w:val="75E748EA"/>
    <w:rsid w:val="784604CA"/>
    <w:rsid w:val="78E5D5D9"/>
    <w:rsid w:val="79ABD019"/>
    <w:rsid w:val="7AEE2108"/>
    <w:rsid w:val="7CC477C8"/>
    <w:rsid w:val="7D8C2E23"/>
    <w:rsid w:val="7EEDEB61"/>
    <w:rsid w:val="7FB87B3D"/>
    <w:rsid w:val="7FBB7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Normal Indent" w:qFormat="1"/>
    <w:lsdException w:name="header" w:qFormat="1"/>
    <w:lsdException w:name="footer" w:qFormat="1"/>
    <w:lsdException w:name="page number" w:qFormat="1"/>
    <w:lsdException w:name="Default Paragraph Font" w:semiHidden="1" w:uiPriority="1"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Balloon Text"/>
    <w:basedOn w:val="a"/>
    <w:link w:val="Char"/>
    <w:qFormat/>
    <w:pPr>
      <w:spacing w:line="240" w:lineRule="auto"/>
    </w:pPr>
    <w:rPr>
      <w:sz w:val="18"/>
      <w:szCs w:val="18"/>
    </w:rPr>
  </w:style>
  <w:style w:type="paragraph" w:styleId="a5">
    <w:name w:val="footer"/>
    <w:basedOn w:val="a"/>
    <w:qFormat/>
    <w:pPr>
      <w:tabs>
        <w:tab w:val="center" w:pos="4153"/>
        <w:tab w:val="right" w:pos="8306"/>
      </w:tabs>
      <w:spacing w:line="400" w:lineRule="atLeast"/>
      <w:ind w:firstLine="0"/>
      <w:jc w:val="center"/>
    </w:pPr>
    <w:rPr>
      <w:sz w:val="28"/>
    </w:rPr>
  </w:style>
  <w:style w:type="paragraph" w:styleId="a6">
    <w:name w:val="header"/>
    <w:basedOn w:val="a"/>
    <w:qFormat/>
    <w:pPr>
      <w:pBdr>
        <w:bottom w:val="single" w:sz="6" w:space="1" w:color="auto"/>
      </w:pBdr>
      <w:tabs>
        <w:tab w:val="center" w:pos="4153"/>
        <w:tab w:val="right" w:pos="8306"/>
      </w:tabs>
      <w:spacing w:line="240" w:lineRule="atLeast"/>
      <w:jc w:val="center"/>
    </w:pPr>
    <w:rPr>
      <w:sz w:val="18"/>
    </w:rPr>
  </w:style>
  <w:style w:type="table" w:styleId="a7">
    <w:name w:val="Table Grid"/>
    <w:basedOn w:val="a1"/>
    <w:qFormat/>
    <w:pPr>
      <w:widowControl w:val="0"/>
      <w:autoSpaceDE w:val="0"/>
      <w:autoSpaceDN w:val="0"/>
      <w:snapToGrid w:val="0"/>
      <w:spacing w:line="590" w:lineRule="atLeast"/>
      <w:ind w:firstLine="62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9">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a">
    <w:name w:val="密级"/>
    <w:basedOn w:val="a"/>
    <w:qFormat/>
    <w:pPr>
      <w:adjustRightInd w:val="0"/>
      <w:snapToGrid/>
      <w:spacing w:line="425" w:lineRule="atLeast"/>
      <w:ind w:firstLine="0"/>
      <w:jc w:val="right"/>
    </w:pPr>
    <w:rPr>
      <w:rFonts w:ascii="黑体" w:eastAsia="黑体"/>
      <w:sz w:val="30"/>
    </w:rPr>
  </w:style>
  <w:style w:type="paragraph" w:customStyle="1" w:styleId="ab">
    <w:name w:val="主题词"/>
    <w:basedOn w:val="a"/>
    <w:qFormat/>
    <w:pPr>
      <w:adjustRightInd w:val="0"/>
      <w:snapToGrid/>
      <w:spacing w:line="240" w:lineRule="atLeast"/>
      <w:ind w:firstLine="0"/>
      <w:jc w:val="left"/>
    </w:pPr>
    <w:rPr>
      <w:rFonts w:ascii="方正黑体_GBK" w:eastAsia="方正黑体_GBK"/>
    </w:rPr>
  </w:style>
  <w:style w:type="paragraph" w:customStyle="1" w:styleId="ac">
    <w:name w:val="抄送栏"/>
    <w:basedOn w:val="a"/>
    <w:qFormat/>
    <w:pPr>
      <w:adjustRightInd w:val="0"/>
      <w:snapToGrid/>
      <w:spacing w:line="454" w:lineRule="atLeast"/>
      <w:ind w:left="1310" w:right="357" w:hanging="953"/>
    </w:pPr>
  </w:style>
  <w:style w:type="paragraph" w:customStyle="1" w:styleId="ad">
    <w:name w:val="线型"/>
    <w:basedOn w:val="ac"/>
    <w:qFormat/>
    <w:pPr>
      <w:spacing w:line="240" w:lineRule="auto"/>
      <w:ind w:left="0" w:firstLine="0"/>
      <w:jc w:val="center"/>
    </w:pPr>
    <w:rPr>
      <w:sz w:val="21"/>
    </w:rPr>
  </w:style>
  <w:style w:type="paragraph" w:customStyle="1" w:styleId="ae">
    <w:name w:val="印发栏"/>
    <w:basedOn w:val="a3"/>
    <w:qFormat/>
    <w:pPr>
      <w:tabs>
        <w:tab w:val="right" w:pos="8465"/>
      </w:tabs>
      <w:spacing w:line="454" w:lineRule="atLeast"/>
      <w:ind w:left="357" w:right="357"/>
    </w:pPr>
    <w:rPr>
      <w:spacing w:val="0"/>
    </w:rPr>
  </w:style>
  <w:style w:type="paragraph" w:customStyle="1" w:styleId="af">
    <w:name w:val="印数"/>
    <w:basedOn w:val="ae"/>
    <w:qFormat/>
    <w:pPr>
      <w:spacing w:line="400" w:lineRule="atLeast"/>
      <w:ind w:left="0" w:right="0"/>
      <w:jc w:val="right"/>
    </w:pPr>
  </w:style>
  <w:style w:type="paragraph" w:customStyle="1" w:styleId="af0">
    <w:name w:val="附件栏"/>
    <w:basedOn w:val="a"/>
    <w:qFormat/>
  </w:style>
  <w:style w:type="paragraph" w:customStyle="1" w:styleId="af1">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2">
    <w:name w:val="紧急程度"/>
    <w:basedOn w:val="aa"/>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b"/>
    <w:qFormat/>
    <w:pPr>
      <w:spacing w:after="177" w:line="520" w:lineRule="exact"/>
    </w:pPr>
    <w:rPr>
      <w:rFonts w:cs="宋体"/>
      <w:bCs/>
    </w:rPr>
  </w:style>
  <w:style w:type="paragraph" w:customStyle="1" w:styleId="11">
    <w:name w:val="列出段落1"/>
    <w:basedOn w:val="a"/>
    <w:qFormat/>
    <w:pPr>
      <w:ind w:firstLineChars="200" w:firstLine="420"/>
    </w:pPr>
    <w:rPr>
      <w:rFonts w:ascii="Calibri" w:eastAsia="宋体" w:hAnsi="Calibri"/>
      <w:kern w:val="2"/>
      <w:sz w:val="21"/>
      <w:szCs w:val="21"/>
    </w:rPr>
  </w:style>
  <w:style w:type="character" w:customStyle="1" w:styleId="Char">
    <w:name w:val="批注框文本 Char"/>
    <w:basedOn w:val="a0"/>
    <w:link w:val="a4"/>
    <w:qFormat/>
    <w:rPr>
      <w:rFonts w:eastAsia="方正仿宋_GBK"/>
      <w:snapToGrid w:val="0"/>
      <w:sz w:val="18"/>
      <w:szCs w:val="18"/>
    </w:rPr>
  </w:style>
  <w:style w:type="table" w:customStyle="1" w:styleId="12">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Normal Indent" w:qFormat="1"/>
    <w:lsdException w:name="header" w:qFormat="1"/>
    <w:lsdException w:name="footer" w:qFormat="1"/>
    <w:lsdException w:name="page number" w:qFormat="1"/>
    <w:lsdException w:name="Default Paragraph Font" w:semiHidden="1" w:uiPriority="1"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Balloon Text"/>
    <w:basedOn w:val="a"/>
    <w:link w:val="Char"/>
    <w:qFormat/>
    <w:pPr>
      <w:spacing w:line="240" w:lineRule="auto"/>
    </w:pPr>
    <w:rPr>
      <w:sz w:val="18"/>
      <w:szCs w:val="18"/>
    </w:rPr>
  </w:style>
  <w:style w:type="paragraph" w:styleId="a5">
    <w:name w:val="footer"/>
    <w:basedOn w:val="a"/>
    <w:qFormat/>
    <w:pPr>
      <w:tabs>
        <w:tab w:val="center" w:pos="4153"/>
        <w:tab w:val="right" w:pos="8306"/>
      </w:tabs>
      <w:spacing w:line="400" w:lineRule="atLeast"/>
      <w:ind w:firstLine="0"/>
      <w:jc w:val="center"/>
    </w:pPr>
    <w:rPr>
      <w:sz w:val="28"/>
    </w:rPr>
  </w:style>
  <w:style w:type="paragraph" w:styleId="a6">
    <w:name w:val="header"/>
    <w:basedOn w:val="a"/>
    <w:qFormat/>
    <w:pPr>
      <w:pBdr>
        <w:bottom w:val="single" w:sz="6" w:space="1" w:color="auto"/>
      </w:pBdr>
      <w:tabs>
        <w:tab w:val="center" w:pos="4153"/>
        <w:tab w:val="right" w:pos="8306"/>
      </w:tabs>
      <w:spacing w:line="240" w:lineRule="atLeast"/>
      <w:jc w:val="center"/>
    </w:pPr>
    <w:rPr>
      <w:sz w:val="18"/>
    </w:rPr>
  </w:style>
  <w:style w:type="table" w:styleId="a7">
    <w:name w:val="Table Grid"/>
    <w:basedOn w:val="a1"/>
    <w:qFormat/>
    <w:pPr>
      <w:widowControl w:val="0"/>
      <w:autoSpaceDE w:val="0"/>
      <w:autoSpaceDN w:val="0"/>
      <w:snapToGrid w:val="0"/>
      <w:spacing w:line="590" w:lineRule="atLeast"/>
      <w:ind w:firstLine="62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9">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a">
    <w:name w:val="密级"/>
    <w:basedOn w:val="a"/>
    <w:qFormat/>
    <w:pPr>
      <w:adjustRightInd w:val="0"/>
      <w:snapToGrid/>
      <w:spacing w:line="425" w:lineRule="atLeast"/>
      <w:ind w:firstLine="0"/>
      <w:jc w:val="right"/>
    </w:pPr>
    <w:rPr>
      <w:rFonts w:ascii="黑体" w:eastAsia="黑体"/>
      <w:sz w:val="30"/>
    </w:rPr>
  </w:style>
  <w:style w:type="paragraph" w:customStyle="1" w:styleId="ab">
    <w:name w:val="主题词"/>
    <w:basedOn w:val="a"/>
    <w:qFormat/>
    <w:pPr>
      <w:adjustRightInd w:val="0"/>
      <w:snapToGrid/>
      <w:spacing w:line="240" w:lineRule="atLeast"/>
      <w:ind w:firstLine="0"/>
      <w:jc w:val="left"/>
    </w:pPr>
    <w:rPr>
      <w:rFonts w:ascii="方正黑体_GBK" w:eastAsia="方正黑体_GBK"/>
    </w:rPr>
  </w:style>
  <w:style w:type="paragraph" w:customStyle="1" w:styleId="ac">
    <w:name w:val="抄送栏"/>
    <w:basedOn w:val="a"/>
    <w:qFormat/>
    <w:pPr>
      <w:adjustRightInd w:val="0"/>
      <w:snapToGrid/>
      <w:spacing w:line="454" w:lineRule="atLeast"/>
      <w:ind w:left="1310" w:right="357" w:hanging="953"/>
    </w:pPr>
  </w:style>
  <w:style w:type="paragraph" w:customStyle="1" w:styleId="ad">
    <w:name w:val="线型"/>
    <w:basedOn w:val="ac"/>
    <w:qFormat/>
    <w:pPr>
      <w:spacing w:line="240" w:lineRule="auto"/>
      <w:ind w:left="0" w:firstLine="0"/>
      <w:jc w:val="center"/>
    </w:pPr>
    <w:rPr>
      <w:sz w:val="21"/>
    </w:rPr>
  </w:style>
  <w:style w:type="paragraph" w:customStyle="1" w:styleId="ae">
    <w:name w:val="印发栏"/>
    <w:basedOn w:val="a3"/>
    <w:qFormat/>
    <w:pPr>
      <w:tabs>
        <w:tab w:val="right" w:pos="8465"/>
      </w:tabs>
      <w:spacing w:line="454" w:lineRule="atLeast"/>
      <w:ind w:left="357" w:right="357"/>
    </w:pPr>
    <w:rPr>
      <w:spacing w:val="0"/>
    </w:rPr>
  </w:style>
  <w:style w:type="paragraph" w:customStyle="1" w:styleId="af">
    <w:name w:val="印数"/>
    <w:basedOn w:val="ae"/>
    <w:qFormat/>
    <w:pPr>
      <w:spacing w:line="400" w:lineRule="atLeast"/>
      <w:ind w:left="0" w:right="0"/>
      <w:jc w:val="right"/>
    </w:pPr>
  </w:style>
  <w:style w:type="paragraph" w:customStyle="1" w:styleId="af0">
    <w:name w:val="附件栏"/>
    <w:basedOn w:val="a"/>
    <w:qFormat/>
  </w:style>
  <w:style w:type="paragraph" w:customStyle="1" w:styleId="af1">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2">
    <w:name w:val="紧急程度"/>
    <w:basedOn w:val="aa"/>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b"/>
    <w:qFormat/>
    <w:pPr>
      <w:spacing w:after="177" w:line="520" w:lineRule="exact"/>
    </w:pPr>
    <w:rPr>
      <w:rFonts w:cs="宋体"/>
      <w:bCs/>
    </w:rPr>
  </w:style>
  <w:style w:type="paragraph" w:customStyle="1" w:styleId="11">
    <w:name w:val="列出段落1"/>
    <w:basedOn w:val="a"/>
    <w:qFormat/>
    <w:pPr>
      <w:ind w:firstLineChars="200" w:firstLine="420"/>
    </w:pPr>
    <w:rPr>
      <w:rFonts w:ascii="Calibri" w:eastAsia="宋体" w:hAnsi="Calibri"/>
      <w:kern w:val="2"/>
      <w:sz w:val="21"/>
      <w:szCs w:val="21"/>
    </w:rPr>
  </w:style>
  <w:style w:type="character" w:customStyle="1" w:styleId="Char">
    <w:name w:val="批注框文本 Char"/>
    <w:basedOn w:val="a0"/>
    <w:link w:val="a4"/>
    <w:qFormat/>
    <w:rPr>
      <w:rFonts w:eastAsia="方正仿宋_GBK"/>
      <w:snapToGrid w:val="0"/>
      <w:sz w:val="18"/>
      <w:szCs w:val="18"/>
    </w:rPr>
  </w:style>
  <w:style w:type="table" w:customStyle="1" w:styleId="12">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省厅2（下行）</dc:title>
  <dc:creator>zjt</dc:creator>
  <cp:lastModifiedBy>win</cp:lastModifiedBy>
  <cp:revision>18</cp:revision>
  <cp:lastPrinted>2026-07-29T09:28:00Z</cp:lastPrinted>
  <dcterms:created xsi:type="dcterms:W3CDTF">2026-04-16T02:26:00Z</dcterms:created>
  <dcterms:modified xsi:type="dcterms:W3CDTF">2026-07-29T09:32:00Z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KSOTemplateDocerSaveRecord">
    <vt:lpwstr>eyJoZGlkIjoiMzRiYmM2NzU1NDg4N2IxMDRlM2FiZWUyN2I2YjI4ZTgiLCJ1c2VySWQiOiIyNDk0ODk4NDAifQ==</vt:lpwstr>
  </property>
  <property fmtid="{D5CDD505-2E9C-101B-9397-08002B2CF9AE}" pid="4" name="ICV">
    <vt:lpwstr>D791E61E64A5468086A6228CD4F5230D_13</vt:lpwstr>
  </property>
</Properties>
</file>