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shd w:val="clear" w:color="auto" w:fill="FFFFFF"/>
        <w:spacing w:before="0" w:beforeAutospacing="0" w:after="0" w:afterAutospacing="0" w:line="580" w:lineRule="exact"/>
        <w:ind w:left="958" w:leftChars="456" w:right="640" w:firstLine="4160" w:firstLineChars="1300"/>
        <w:jc w:val="both"/>
        <w:textAlignment w:val="baseline"/>
        <w:rPr>
          <w:rFonts w:ascii="方正仿宋_GBK" w:hAnsi="Times New Roman" w:eastAsia="方正仿宋_GBK" w:cs="方正仿宋_GBK"/>
          <w:bCs/>
          <w:color w:val="000000" w:themeColor="text1"/>
          <w:kern w:val="2"/>
          <w:sz w:val="32"/>
          <w:szCs w:val="32"/>
          <w14:textFill>
            <w14:solidFill>
              <w14:schemeClr w14:val="tx1"/>
            </w14:solidFill>
          </w14:textFill>
        </w:rPr>
      </w:pPr>
    </w:p>
    <w:p>
      <w:pPr>
        <w:pStyle w:val="7"/>
        <w:shd w:val="clear" w:color="auto" w:fill="FFFFFF"/>
        <w:spacing w:before="0" w:beforeAutospacing="0" w:after="375" w:afterAutospacing="0" w:line="700" w:lineRule="exact"/>
        <w:jc w:val="center"/>
        <w:textAlignment w:val="baseline"/>
        <w:rPr>
          <w:rFonts w:ascii="方正小标宋_GBK" w:hAnsi="Arial" w:eastAsia="方正小标宋_GBK" w:cs="Arial"/>
          <w:color w:val="000000" w:themeColor="text1"/>
          <w:sz w:val="44"/>
          <w:szCs w:val="44"/>
          <w14:textFill>
            <w14:solidFill>
              <w14:schemeClr w14:val="tx1"/>
            </w14:solidFill>
          </w14:textFill>
        </w:rPr>
      </w:pPr>
      <w:bookmarkStart w:id="0" w:name="_GoBack"/>
      <w:r>
        <w:rPr>
          <w:rFonts w:hint="eastAsia" w:ascii="方正小标宋_GBK" w:hAnsi="Arial" w:eastAsia="方正小标宋_GBK" w:cs="Arial"/>
          <w:color w:val="000000" w:themeColor="text1"/>
          <w:sz w:val="44"/>
          <w:szCs w:val="44"/>
          <w14:textFill>
            <w14:solidFill>
              <w14:schemeClr w14:val="tx1"/>
            </w14:solidFill>
          </w14:textFill>
        </w:rPr>
        <w:t>江苏省建设工程安全生产责任保险</w:t>
      </w:r>
    </w:p>
    <w:p>
      <w:pPr>
        <w:pStyle w:val="7"/>
        <w:shd w:val="clear" w:color="auto" w:fill="FFFFFF"/>
        <w:spacing w:before="0" w:beforeAutospacing="0" w:after="375" w:afterAutospacing="0" w:line="700" w:lineRule="exact"/>
        <w:jc w:val="center"/>
        <w:textAlignment w:val="baseline"/>
        <w:rPr>
          <w:rFonts w:ascii="Arial" w:hAnsi="Arial" w:cs="Arial"/>
          <w:color w:val="000000" w:themeColor="text1"/>
          <w:sz w:val="25"/>
          <w:szCs w:val="25"/>
          <w14:textFill>
            <w14:solidFill>
              <w14:schemeClr w14:val="tx1"/>
            </w14:solidFill>
          </w14:textFill>
        </w:rPr>
      </w:pPr>
      <w:r>
        <w:rPr>
          <w:rFonts w:hint="eastAsia" w:ascii="方正小标宋_GBK" w:hAnsi="Arial" w:eastAsia="方正小标宋_GBK" w:cs="Arial"/>
          <w:color w:val="000000" w:themeColor="text1"/>
          <w:sz w:val="44"/>
          <w:szCs w:val="44"/>
          <w14:textFill>
            <w14:solidFill>
              <w14:schemeClr w14:val="tx1"/>
            </w14:solidFill>
          </w14:textFill>
        </w:rPr>
        <w:t>实施意见（征求意见稿）</w:t>
      </w:r>
    </w:p>
    <w:bookmarkEnd w:id="0"/>
    <w:p>
      <w:pPr>
        <w:pStyle w:val="7"/>
        <w:numPr>
          <w:ilvl w:val="0"/>
          <w:numId w:val="1"/>
        </w:numPr>
        <w:shd w:val="clear" w:color="auto" w:fill="FFFFFF"/>
        <w:spacing w:before="0" w:beforeAutospacing="0" w:after="0" w:afterAutospacing="0" w:line="580" w:lineRule="exact"/>
        <w:jc w:val="center"/>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总则</w:t>
      </w:r>
    </w:p>
    <w:p>
      <w:pPr>
        <w:pStyle w:val="7"/>
        <w:shd w:val="clear" w:color="auto" w:fill="FFFFFF"/>
        <w:spacing w:before="0" w:beforeAutospacing="0" w:after="0" w:afterAutospacing="0" w:line="580" w:lineRule="exact"/>
        <w:ind w:left="480"/>
        <w:textAlignment w:val="baseline"/>
        <w:rPr>
          <w:rFonts w:ascii="方正黑体_GBK" w:hAnsi="Arial" w:eastAsia="方正黑体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627" w:firstLineChars="196"/>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第一条 （目的和依据）</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为进一步强化安全生产综合治理，完善建设工程的风险保障机制，推动落实本省安全生产责任保险制度，根据《中华人民共和国安全生产法》《中华人民共和国保险法》</w:t>
      </w:r>
      <w:r>
        <w:rPr>
          <w:rFonts w:hint="eastAsia" w:ascii="方正仿宋_GBK" w:hAnsi="Times New Roman" w:eastAsia="方正仿宋_GBK" w:cs="方正仿宋_GBK"/>
          <w:bCs/>
          <w:color w:val="000000" w:themeColor="text1"/>
          <w:kern w:val="2"/>
          <w:sz w:val="32"/>
          <w:szCs w:val="32"/>
          <w14:textFill>
            <w14:solidFill>
              <w14:schemeClr w14:val="tx1"/>
            </w14:solidFill>
          </w14:textFill>
        </w:rPr>
        <w:t>《中共江苏省委江苏省人民政府关于推进安全生产领域改革发展的实施意见》（苏发〔2017〕18号）</w:t>
      </w:r>
      <w:r>
        <w:rPr>
          <w:rFonts w:hint="eastAsia" w:ascii="方正仿宋_GBK" w:hAnsi="Arial" w:eastAsia="方正仿宋_GBK" w:cs="Arial"/>
          <w:color w:val="000000" w:themeColor="text1"/>
          <w:sz w:val="32"/>
          <w:szCs w:val="32"/>
          <w14:textFill>
            <w14:solidFill>
              <w14:schemeClr w14:val="tx1"/>
            </w14:solidFill>
          </w14:textFill>
        </w:rPr>
        <w:t>、《国家安全监管总局保监会财政部关于印发&lt;安全生产责任保险实施办法&gt;的通知》（安监总办〔2017〕140号）、《中国银保监会办公厅关于印发责任保险业务监管办法的通知》（银保监办发</w:t>
      </w:r>
      <w:r>
        <w:rPr>
          <w:rFonts w:hint="eastAsia" w:ascii="方正仿宋_GBK" w:hAnsi="Times New Roman" w:eastAsia="方正仿宋_GBK" w:cs="方正仿宋_GBK"/>
          <w:bCs/>
          <w:color w:val="000000" w:themeColor="text1"/>
          <w:kern w:val="2"/>
          <w:sz w:val="32"/>
          <w:szCs w:val="32"/>
          <w14:textFill>
            <w14:solidFill>
              <w14:schemeClr w14:val="tx1"/>
            </w14:solidFill>
          </w14:textFill>
        </w:rPr>
        <w:t>〔20</w:t>
      </w:r>
      <w:r>
        <w:rPr>
          <w:rFonts w:ascii="方正仿宋_GBK" w:hAnsi="Times New Roman" w:eastAsia="方正仿宋_GBK" w:cs="方正仿宋_GBK"/>
          <w:bCs/>
          <w:color w:val="000000" w:themeColor="text1"/>
          <w:kern w:val="2"/>
          <w:sz w:val="32"/>
          <w:szCs w:val="32"/>
          <w14:textFill>
            <w14:solidFill>
              <w14:schemeClr w14:val="tx1"/>
            </w14:solidFill>
          </w14:textFill>
        </w:rPr>
        <w:t>20</w:t>
      </w:r>
      <w:r>
        <w:rPr>
          <w:rFonts w:hint="eastAsia" w:ascii="方正仿宋_GBK" w:hAnsi="Times New Roman" w:eastAsia="方正仿宋_GBK" w:cs="方正仿宋_GBK"/>
          <w:bCs/>
          <w:color w:val="000000" w:themeColor="text1"/>
          <w:kern w:val="2"/>
          <w:sz w:val="32"/>
          <w:szCs w:val="32"/>
          <w14:textFill>
            <w14:solidFill>
              <w14:schemeClr w14:val="tx1"/>
            </w14:solidFill>
          </w14:textFill>
        </w:rPr>
        <w:t>〕1</w:t>
      </w:r>
      <w:r>
        <w:rPr>
          <w:rFonts w:ascii="方正仿宋_GBK" w:hAnsi="Times New Roman" w:eastAsia="方正仿宋_GBK" w:cs="方正仿宋_GBK"/>
          <w:bCs/>
          <w:color w:val="000000" w:themeColor="text1"/>
          <w:kern w:val="2"/>
          <w:sz w:val="32"/>
          <w:szCs w:val="32"/>
          <w14:textFill>
            <w14:solidFill>
              <w14:schemeClr w14:val="tx1"/>
            </w14:solidFill>
          </w14:textFill>
        </w:rPr>
        <w:t>17</w:t>
      </w:r>
      <w:r>
        <w:rPr>
          <w:rFonts w:hint="eastAsia" w:ascii="方正仿宋_GBK" w:hAnsi="Times New Roman" w:eastAsia="方正仿宋_GBK" w:cs="方正仿宋_GBK"/>
          <w:bCs/>
          <w:color w:val="000000" w:themeColor="text1"/>
          <w:kern w:val="2"/>
          <w:sz w:val="32"/>
          <w:szCs w:val="32"/>
          <w14:textFill>
            <w14:solidFill>
              <w14:schemeClr w14:val="tx1"/>
            </w14:solidFill>
          </w14:textFill>
        </w:rPr>
        <w:t>号</w:t>
      </w:r>
      <w:r>
        <w:rPr>
          <w:rFonts w:hint="eastAsia" w:ascii="方正仿宋_GBK" w:hAnsi="Arial" w:eastAsia="方正仿宋_GBK" w:cs="Arial"/>
          <w:color w:val="000000" w:themeColor="text1"/>
          <w:sz w:val="32"/>
          <w:szCs w:val="32"/>
          <w14:textFill>
            <w14:solidFill>
              <w14:schemeClr w14:val="tx1"/>
            </w14:solidFill>
          </w14:textFill>
        </w:rPr>
        <w:t>）《安全生产责任保险事故预防技术服务规范》和</w:t>
      </w:r>
      <w:r>
        <w:rPr>
          <w:rFonts w:hint="eastAsia" w:ascii="方正仿宋_GBK" w:hAnsi="Times New Roman" w:eastAsia="方正仿宋_GBK" w:cs="方正仿宋_GBK"/>
          <w:bCs/>
          <w:color w:val="000000" w:themeColor="text1"/>
          <w:kern w:val="2"/>
          <w:sz w:val="32"/>
          <w:szCs w:val="32"/>
          <w14:textFill>
            <w14:solidFill>
              <w14:schemeClr w14:val="tx1"/>
            </w14:solidFill>
          </w14:textFill>
        </w:rPr>
        <w:t>《关于在全省重点行业领域全面落实安全生产责任保险制度的实施意见》（苏应急〔2018〕2号）</w:t>
      </w:r>
      <w:r>
        <w:rPr>
          <w:rFonts w:hint="eastAsia" w:ascii="方正仿宋_GBK" w:hAnsi="Arial" w:eastAsia="方正仿宋_GBK" w:cs="Arial"/>
          <w:color w:val="000000" w:themeColor="text1"/>
          <w:sz w:val="32"/>
          <w:szCs w:val="32"/>
          <w14:textFill>
            <w14:solidFill>
              <w14:schemeClr w14:val="tx1"/>
            </w14:solidFill>
          </w14:textFill>
        </w:rPr>
        <w:t>等规定，制定本实施意见。</w:t>
      </w:r>
    </w:p>
    <w:p>
      <w:pPr>
        <w:pStyle w:val="7"/>
        <w:shd w:val="clear" w:color="auto" w:fill="FFFFFF"/>
        <w:spacing w:before="0" w:beforeAutospacing="0" w:after="0" w:afterAutospacing="0" w:line="580" w:lineRule="exact"/>
        <w:ind w:firstLine="627" w:firstLineChars="196"/>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第二条（定义）</w:t>
      </w:r>
    </w:p>
    <w:p>
      <w:pPr>
        <w:pStyle w:val="7"/>
        <w:spacing w:before="0" w:beforeAutospacing="0" w:after="0" w:afterAutospacing="0" w:line="580" w:lineRule="exact"/>
        <w:ind w:firstLine="640" w:firstLineChars="200"/>
        <w:jc w:val="both"/>
        <w:rPr>
          <w:rFonts w:ascii="Times New Roman" w:hAnsi="Times New Roman" w:eastAsia="方正仿宋_GBK" w:cs="方正仿宋_GBK"/>
          <w:bCs/>
          <w:color w:val="000000" w:themeColor="text1"/>
          <w:kern w:val="2"/>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本意见所称建设工程安全生产责任保险（以下简称“建设工程安责险”），是指由保险机构对</w:t>
      </w:r>
      <w:r>
        <w:rPr>
          <w:rFonts w:hint="eastAsia" w:ascii="Times New Roman" w:hAnsi="Times New Roman" w:eastAsia="方正仿宋_GBK" w:cs="方正仿宋_GBK"/>
          <w:bCs/>
          <w:color w:val="000000" w:themeColor="text1"/>
          <w:kern w:val="2"/>
          <w:sz w:val="32"/>
          <w:szCs w:val="32"/>
          <w14:textFill>
            <w14:solidFill>
              <w14:schemeClr w14:val="tx1"/>
            </w14:solidFill>
          </w14:textFill>
        </w:rPr>
        <w:t>投保的本省行政区域内新建、改建、扩建房屋建筑与市政基础设施工程（含城市轨道交通工程）项目的投保主体，因投保项目的生产安全事故造成的人员伤亡和第三者有关经济损失等予以赔偿，并且为投保项目提供生产安全事故预防服</w:t>
      </w:r>
      <w:r>
        <w:rPr>
          <w:rFonts w:hint="eastAsia" w:ascii="Times New Roman" w:hAnsi="Times New Roman" w:eastAsia="方正仿宋_GBK" w:cs="方正仿宋_GBK"/>
          <w:bCs/>
          <w:kern w:val="2"/>
          <w:sz w:val="32"/>
          <w:szCs w:val="32"/>
        </w:rPr>
        <w:t>务的保</w:t>
      </w:r>
      <w:r>
        <w:rPr>
          <w:rFonts w:hint="eastAsia" w:ascii="Times New Roman" w:hAnsi="Times New Roman" w:eastAsia="方正仿宋_GBK" w:cs="方正仿宋_GBK"/>
          <w:bCs/>
          <w:color w:val="000000" w:themeColor="text1"/>
          <w:kern w:val="2"/>
          <w:sz w:val="32"/>
          <w:szCs w:val="32"/>
          <w14:textFill>
            <w14:solidFill>
              <w14:schemeClr w14:val="tx1"/>
            </w14:solidFill>
          </w14:textFill>
        </w:rPr>
        <w:t>险。</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鼓励保险机构开发符合建筑行业实际且施工单位可接受的特色保险产品，以主险和附加险的方式为投保企业提供包括职业病、意外伤害等在内的个性化保险组合产品。</w:t>
      </w:r>
    </w:p>
    <w:p>
      <w:pPr>
        <w:pStyle w:val="7"/>
        <w:shd w:val="clear" w:color="auto" w:fill="FFFFFF"/>
        <w:spacing w:before="0" w:beforeAutospacing="0" w:after="0" w:afterAutospacing="0" w:line="580" w:lineRule="exact"/>
        <w:ind w:firstLine="800" w:firstLineChars="250"/>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第三条（适用范围）</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全面推行建设工程安责险，本省范围内的所有</w:t>
      </w:r>
      <w:r>
        <w:rPr>
          <w:rFonts w:hint="eastAsia" w:ascii="Times New Roman" w:hAnsi="Times New Roman" w:eastAsia="方正仿宋_GBK" w:cs="方正仿宋_GBK"/>
          <w:bCs/>
          <w:color w:val="000000" w:themeColor="text1"/>
          <w:kern w:val="2"/>
          <w:sz w:val="32"/>
          <w:szCs w:val="32"/>
          <w14:textFill>
            <w14:solidFill>
              <w14:schemeClr w14:val="tx1"/>
            </w14:solidFill>
          </w14:textFill>
        </w:rPr>
        <w:t>房屋建筑与市政基础设施</w:t>
      </w:r>
      <w:r>
        <w:rPr>
          <w:rFonts w:hint="eastAsia" w:ascii="方正仿宋_GBK" w:hAnsi="Arial" w:eastAsia="方正仿宋_GBK" w:cs="Arial"/>
          <w:color w:val="000000" w:themeColor="text1"/>
          <w:sz w:val="32"/>
          <w:szCs w:val="32"/>
          <w14:textFill>
            <w14:solidFill>
              <w14:schemeClr w14:val="tx1"/>
            </w14:solidFill>
          </w14:textFill>
        </w:rPr>
        <w:t>工程（包括新开工及已开工项目）均需投保建设工程安责险。新建工程应当在办理施工许可手续节点前投保建设工程安责险。</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各设区市建设主管部门可自行规定对已开工项目剩余建设期间内工程投保建设工程安责险。在建工程依照有关法律法规已经投保与建设工程安责险属性相同的责任保险的，在原险种保险期限到期后，要及时转化为建设工程安责险。</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除被依法关闭取缔、完全停止生产经营活动或政府有关部门决定工程项目停建外，应当投保建设工程安责险的投保项目不得延迟投保、退保。</w:t>
      </w:r>
    </w:p>
    <w:p>
      <w:pPr>
        <w:pStyle w:val="7"/>
        <w:shd w:val="clear" w:color="auto" w:fill="FFFFFF"/>
        <w:spacing w:before="0" w:beforeAutospacing="0" w:after="0" w:afterAutospacing="0" w:line="580" w:lineRule="exact"/>
        <w:ind w:firstLine="640" w:firstLineChars="200"/>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第四条（投保主体）</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仿宋" w:eastAsia="方正仿宋_GBK"/>
          <w:color w:val="000000" w:themeColor="text1"/>
          <w:sz w:val="32"/>
          <w:szCs w:val="32"/>
          <w14:textFill>
            <w14:solidFill>
              <w14:schemeClr w14:val="tx1"/>
            </w14:solidFill>
          </w14:textFill>
        </w:rPr>
        <w:t>以工程项目为单元参保建设工程安责险，</w:t>
      </w:r>
      <w:r>
        <w:rPr>
          <w:rFonts w:hint="eastAsia" w:ascii="方正仿宋_GBK" w:hAnsi="Arial" w:eastAsia="方正仿宋_GBK" w:cs="Arial"/>
          <w:color w:val="000000" w:themeColor="text1"/>
          <w:sz w:val="32"/>
          <w:szCs w:val="32"/>
          <w14:textFill>
            <w14:solidFill>
              <w14:schemeClr w14:val="tx1"/>
            </w14:solidFill>
          </w14:textFill>
        </w:rPr>
        <w:t>建设工程安责险的投保主体为单独核发施工许可的项目总承包单位或专业承包单位，保费由项目总承包单位或专业承包单位支付，不得以任何方式摊派给从业人员个人。</w:t>
      </w:r>
    </w:p>
    <w:p>
      <w:pPr>
        <w:pStyle w:val="7"/>
        <w:shd w:val="clear" w:color="auto" w:fill="FFFFFF"/>
        <w:spacing w:before="0" w:beforeAutospacing="0" w:after="0" w:afterAutospacing="0" w:line="580" w:lineRule="exact"/>
        <w:ind w:firstLine="480"/>
        <w:jc w:val="both"/>
        <w:textAlignment w:val="baseline"/>
        <w:rPr>
          <w:rFonts w:ascii="方正仿宋_GBK" w:hAnsi="Arial" w:eastAsia="方正仿宋_GBK" w:cs="Arial"/>
          <w:color w:val="000000" w:themeColor="text1"/>
          <w:sz w:val="32"/>
          <w:szCs w:val="32"/>
          <w14:textFill>
            <w14:solidFill>
              <w14:schemeClr w14:val="tx1"/>
            </w14:solidFill>
          </w14:textFill>
        </w:rPr>
      </w:pPr>
    </w:p>
    <w:p>
      <w:pPr>
        <w:pStyle w:val="7"/>
        <w:numPr>
          <w:ilvl w:val="0"/>
          <w:numId w:val="1"/>
        </w:numPr>
        <w:shd w:val="clear" w:color="auto" w:fill="FFFFFF"/>
        <w:spacing w:before="0" w:beforeAutospacing="0" w:after="0" w:afterAutospacing="0" w:line="580" w:lineRule="exact"/>
        <w:jc w:val="center"/>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承保与投保</w:t>
      </w:r>
    </w:p>
    <w:p>
      <w:pPr>
        <w:pStyle w:val="7"/>
        <w:shd w:val="clear" w:color="auto" w:fill="FFFFFF"/>
        <w:spacing w:before="0" w:beforeAutospacing="0" w:after="0" w:afterAutospacing="0" w:line="580" w:lineRule="exact"/>
        <w:ind w:left="1560"/>
        <w:textAlignment w:val="baseline"/>
        <w:rPr>
          <w:rFonts w:ascii="方正黑体_GBK" w:hAnsi="Arial" w:eastAsia="方正黑体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636" w:firstLineChars="199"/>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第五条（保险机构）</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承担本省建设工程安责险的保险机构应当具有相应的专业资质和承保能力。主要包含以下方面：</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Times New Roman"/>
          <w:bCs/>
          <w:color w:val="000000" w:themeColor="text1"/>
          <w:sz w:val="32"/>
          <w:szCs w:val="32"/>
          <w14:textFill>
            <w14:solidFill>
              <w14:schemeClr w14:val="tx1"/>
            </w14:solidFill>
          </w14:textFill>
        </w:rPr>
        <w:t>（一）</w:t>
      </w:r>
      <w:r>
        <w:rPr>
          <w:rFonts w:hint="eastAsia" w:ascii="Times New Roman" w:hAnsi="Times New Roman" w:eastAsia="方正仿宋_GBK" w:cs="方正仿宋_GBK"/>
          <w:bCs/>
          <w:color w:val="000000" w:themeColor="text1"/>
          <w:sz w:val="32"/>
          <w:szCs w:val="32"/>
          <w14:textFill>
            <w14:solidFill>
              <w14:schemeClr w14:val="tx1"/>
            </w14:solidFill>
          </w14:textFill>
        </w:rPr>
        <w:t>遵守法律法规，近3年内在经营活动中没有重大违法或者不良信用记录；</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Times New Roman"/>
          <w:bCs/>
          <w:color w:val="000000" w:themeColor="text1"/>
          <w:sz w:val="32"/>
          <w:szCs w:val="32"/>
          <w14:textFill>
            <w14:solidFill>
              <w14:schemeClr w14:val="tx1"/>
            </w14:solidFill>
          </w14:textFill>
        </w:rPr>
        <w:t>（二）</w:t>
      </w:r>
      <w:r>
        <w:rPr>
          <w:rFonts w:hint="eastAsia" w:ascii="Times New Roman" w:hAnsi="Times New Roman" w:eastAsia="方正仿宋_GBK" w:cs="方正仿宋_GBK"/>
          <w:bCs/>
          <w:color w:val="000000" w:themeColor="text1"/>
          <w:sz w:val="32"/>
          <w:szCs w:val="32"/>
          <w14:textFill>
            <w14:solidFill>
              <w14:schemeClr w14:val="tx1"/>
            </w14:solidFill>
          </w14:textFill>
        </w:rPr>
        <w:t>有开展责任保险业务的业绩和规模，近三年综合偿付能力均不低于150%；</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Times New Roman"/>
          <w:bCs/>
          <w:color w:val="000000" w:themeColor="text1"/>
          <w:sz w:val="32"/>
          <w:szCs w:val="32"/>
          <w14:textFill>
            <w14:solidFill>
              <w14:schemeClr w14:val="tx1"/>
            </w14:solidFill>
          </w14:textFill>
        </w:rPr>
        <w:t>（三）</w:t>
      </w:r>
      <w:r>
        <w:rPr>
          <w:rFonts w:hint="eastAsia" w:ascii="Times New Roman" w:hAnsi="Times New Roman" w:eastAsia="方正仿宋_GBK" w:cs="方正仿宋_GBK"/>
          <w:bCs/>
          <w:color w:val="000000" w:themeColor="text1"/>
          <w:sz w:val="32"/>
          <w:szCs w:val="32"/>
          <w14:textFill>
            <w14:solidFill>
              <w14:schemeClr w14:val="tx1"/>
            </w14:solidFill>
          </w14:textFill>
        </w:rPr>
        <w:t>风险管理能力强，有独立的风险控制部门、风险管理专业人员和风险管理信息系统等；</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Times New Roman"/>
          <w:bCs/>
          <w:color w:val="000000" w:themeColor="text1"/>
          <w:sz w:val="32"/>
          <w:szCs w:val="32"/>
          <w14:textFill>
            <w14:solidFill>
              <w14:schemeClr w14:val="tx1"/>
            </w14:solidFill>
          </w14:textFill>
        </w:rPr>
        <w:t>（四）</w:t>
      </w:r>
      <w:r>
        <w:rPr>
          <w:rFonts w:hint="eastAsia" w:ascii="Times New Roman" w:hAnsi="Times New Roman" w:eastAsia="方正仿宋_GBK" w:cs="方正仿宋_GBK"/>
          <w:bCs/>
          <w:color w:val="000000" w:themeColor="text1"/>
          <w:sz w:val="32"/>
          <w:szCs w:val="32"/>
          <w14:textFill>
            <w14:solidFill>
              <w14:schemeClr w14:val="tx1"/>
            </w14:solidFill>
          </w14:textFill>
        </w:rPr>
        <w:t>具备专业的建筑施工事故预防服务能力，有专门的建筑施工安全生产专家队伍或者与第三方服务机构建立稳定的合作关系；</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Times New Roman"/>
          <w:bCs/>
          <w:color w:val="000000" w:themeColor="text1"/>
          <w:sz w:val="32"/>
          <w:szCs w:val="32"/>
          <w14:textFill>
            <w14:solidFill>
              <w14:schemeClr w14:val="tx1"/>
            </w14:solidFill>
          </w14:textFill>
        </w:rPr>
        <w:t>（五）</w:t>
      </w:r>
      <w:r>
        <w:rPr>
          <w:rFonts w:hint="eastAsia" w:ascii="Times New Roman" w:hAnsi="Times New Roman" w:eastAsia="方正仿宋_GBK" w:cs="方正仿宋_GBK"/>
          <w:bCs/>
          <w:color w:val="000000" w:themeColor="text1"/>
          <w:sz w:val="32"/>
          <w:szCs w:val="32"/>
          <w14:textFill>
            <w14:solidFill>
              <w14:schemeClr w14:val="tx1"/>
            </w14:solidFill>
          </w14:textFill>
        </w:rPr>
        <w:t>服务网络健全，具备覆盖业务开展地所有县（市、区）域范围的服务能力；</w:t>
      </w:r>
    </w:p>
    <w:p>
      <w:pPr>
        <w:spacing w:line="580" w:lineRule="exact"/>
        <w:ind w:firstLine="640" w:firstLineChars="200"/>
        <w:rPr>
          <w:rFonts w:ascii="方正仿宋_GBK" w:hAnsi="仿宋"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Times New Roman"/>
          <w:bCs/>
          <w:color w:val="000000" w:themeColor="text1"/>
          <w:sz w:val="32"/>
          <w:szCs w:val="32"/>
          <w14:textFill>
            <w14:solidFill>
              <w14:schemeClr w14:val="tx1"/>
            </w14:solidFill>
          </w14:textFill>
        </w:rPr>
        <w:t>（六）</w:t>
      </w:r>
      <w:r>
        <w:rPr>
          <w:rFonts w:hint="eastAsia" w:ascii="Times New Roman" w:hAnsi="Times New Roman" w:eastAsia="方正仿宋_GBK" w:cs="方正仿宋_GBK"/>
          <w:bCs/>
          <w:color w:val="000000" w:themeColor="text1"/>
          <w:sz w:val="32"/>
          <w:szCs w:val="32"/>
          <w14:textFill>
            <w14:solidFill>
              <w14:schemeClr w14:val="tx1"/>
            </w14:solidFill>
          </w14:textFill>
        </w:rPr>
        <w:t>具备信息化服</w:t>
      </w:r>
      <w:r>
        <w:rPr>
          <w:rFonts w:hint="eastAsia" w:ascii="方正仿宋_GBK" w:hAnsi="Times New Roman" w:eastAsia="方正仿宋_GBK" w:cs="方正仿宋_GBK"/>
          <w:bCs/>
          <w:color w:val="000000" w:themeColor="text1"/>
          <w:sz w:val="32"/>
          <w:szCs w:val="32"/>
          <w14:textFill>
            <w14:solidFill>
              <w14:schemeClr w14:val="tx1"/>
            </w14:solidFill>
          </w14:textFill>
        </w:rPr>
        <w:t>务能力，能够建立或使用建设工程安责险综合服务管</w:t>
      </w:r>
      <w:r>
        <w:rPr>
          <w:rFonts w:hint="eastAsia" w:ascii="方正仿宋_GBK" w:hAnsi="仿宋" w:eastAsia="方正仿宋_GBK" w:cs="方正仿宋_GBK"/>
          <w:bCs/>
          <w:color w:val="000000" w:themeColor="text1"/>
          <w:sz w:val="32"/>
          <w:szCs w:val="32"/>
          <w14:textFill>
            <w14:solidFill>
              <w14:schemeClr w14:val="tx1"/>
            </w14:solidFill>
          </w14:textFill>
        </w:rPr>
        <w:t>理信息平台，</w:t>
      </w:r>
      <w:r>
        <w:rPr>
          <w:rFonts w:hint="eastAsia" w:ascii="方正仿宋_GBK" w:hAnsi="仿宋" w:eastAsia="方正仿宋_GBK" w:cs="宋体"/>
          <w:bCs/>
          <w:color w:val="000000" w:themeColor="text1"/>
          <w:sz w:val="32"/>
          <w:szCs w:val="32"/>
          <w14:textFill>
            <w14:solidFill>
              <w14:schemeClr w14:val="tx1"/>
            </w14:solidFill>
          </w14:textFill>
        </w:rPr>
        <w:t>留</w:t>
      </w:r>
      <w:r>
        <w:rPr>
          <w:rFonts w:hint="eastAsia" w:ascii="方正仿宋_GBK" w:hAnsi="仿宋" w:eastAsia="方正仿宋_GBK" w:cs="方正仿宋_GBK"/>
          <w:bCs/>
          <w:color w:val="000000" w:themeColor="text1"/>
          <w:sz w:val="32"/>
          <w:szCs w:val="32"/>
          <w14:textFill>
            <w14:solidFill>
              <w14:schemeClr w14:val="tx1"/>
            </w14:solidFill>
          </w14:textFill>
        </w:rPr>
        <w:t>存并上传本单位全省</w:t>
      </w:r>
      <w:r>
        <w:rPr>
          <w:rFonts w:hint="eastAsia" w:ascii="方正仿宋_GBK" w:hAnsi="Arial" w:eastAsia="方正仿宋_GBK" w:cs="Arial"/>
          <w:color w:val="000000" w:themeColor="text1"/>
          <w:sz w:val="32"/>
          <w:szCs w:val="32"/>
          <w14:textFill>
            <w14:solidFill>
              <w14:schemeClr w14:val="tx1"/>
            </w14:solidFill>
          </w14:textFill>
        </w:rPr>
        <w:t>范围内的</w:t>
      </w:r>
      <w:r>
        <w:rPr>
          <w:rFonts w:hint="eastAsia" w:ascii="方正仿宋_GBK" w:hAnsi="仿宋" w:eastAsia="方正仿宋_GBK" w:cs="方正仿宋_GBK"/>
          <w:bCs/>
          <w:color w:val="000000" w:themeColor="text1"/>
          <w:sz w:val="32"/>
          <w:szCs w:val="32"/>
          <w14:textFill>
            <w14:solidFill>
              <w14:schemeClr w14:val="tx1"/>
            </w14:solidFill>
          </w14:textFill>
        </w:rPr>
        <w:t>承保数据、理赔数据、事故预防服务过程及结果数据。</w:t>
      </w:r>
    </w:p>
    <w:p>
      <w:pPr>
        <w:pStyle w:val="7"/>
        <w:shd w:val="clear" w:color="auto" w:fill="FFFFFF"/>
        <w:spacing w:before="0" w:beforeAutospacing="0" w:after="0" w:afterAutospacing="0" w:line="580" w:lineRule="exact"/>
        <w:ind w:firstLine="640" w:firstLineChars="200"/>
        <w:jc w:val="both"/>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第六条（保险机构共保体）</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鼓励一定数量的保险机构组建共保体，共同为投保单位提供承保服务。各地可通过以下形式之一确定共保体：</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（一）引导当地建筑行业协会通过公开招标方式确定共保体，为其会员单位服务；</w:t>
      </w:r>
    </w:p>
    <w:p>
      <w:pPr>
        <w:pStyle w:val="7"/>
        <w:shd w:val="clear" w:color="auto" w:fill="FFFFFF"/>
        <w:spacing w:before="0" w:beforeAutospacing="0" w:after="0" w:afterAutospacing="0" w:line="580" w:lineRule="exact"/>
        <w:ind w:firstLine="640" w:firstLineChars="200"/>
        <w:jc w:val="both"/>
        <w:textAlignment w:val="baseline"/>
        <w:rPr>
          <w:rFonts w:ascii="方正仿宋_GBK" w:hAnsi="仿宋" w:eastAsia="方正仿宋_GBK" w:cs="仿宋"/>
          <w:bCs/>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（二）申请地方财政专项资金并入事故预防服务专项资金的，可由各设区市建设主管部门</w:t>
      </w:r>
      <w:r>
        <w:rPr>
          <w:rFonts w:hint="eastAsia" w:ascii="方正仿宋_GBK" w:hAnsi="仿宋" w:eastAsia="方正仿宋_GBK" w:cs="仿宋"/>
          <w:bCs/>
          <w:color w:val="000000" w:themeColor="text1"/>
          <w:sz w:val="32"/>
          <w:szCs w:val="32"/>
          <w14:textFill>
            <w14:solidFill>
              <w14:schemeClr w14:val="tx1"/>
            </w14:solidFill>
          </w14:textFill>
        </w:rPr>
        <w:t>通过</w:t>
      </w:r>
      <w:r>
        <w:rPr>
          <w:rFonts w:hint="eastAsia" w:ascii="方正仿宋_GBK" w:hAnsi="仿宋" w:eastAsia="方正仿宋_GBK" w:cs="仿宋"/>
          <w:color w:val="000000" w:themeColor="text1"/>
          <w:sz w:val="32"/>
          <w:szCs w:val="32"/>
          <w:shd w:val="clear" w:color="auto" w:fill="FFFFFF"/>
          <w14:textFill>
            <w14:solidFill>
              <w14:schemeClr w14:val="tx1"/>
            </w14:solidFill>
          </w14:textFill>
        </w:rPr>
        <w:t>公开</w:t>
      </w:r>
      <w:r>
        <w:rPr>
          <w:rFonts w:hint="eastAsia" w:ascii="方正仿宋_GBK" w:hAnsi="仿宋" w:eastAsia="方正仿宋_GBK" w:cs="仿宋"/>
          <w:bCs/>
          <w:color w:val="000000" w:themeColor="text1"/>
          <w:sz w:val="32"/>
          <w:szCs w:val="32"/>
          <w14:textFill>
            <w14:solidFill>
              <w14:schemeClr w14:val="tx1"/>
            </w14:solidFill>
          </w14:textFill>
        </w:rPr>
        <w:t>招标方式，选</w:t>
      </w:r>
      <w:r>
        <w:rPr>
          <w:rFonts w:hint="eastAsia" w:ascii="方正仿宋_GBK" w:hAnsi="Times New Roman" w:eastAsia="方正仿宋_GBK" w:cs="方正仿宋_GBK"/>
          <w:bCs/>
          <w:color w:val="000000" w:themeColor="text1"/>
          <w:sz w:val="32"/>
          <w:szCs w:val="32"/>
          <w14:textFill>
            <w14:solidFill>
              <w14:schemeClr w14:val="tx1"/>
            </w14:solidFill>
          </w14:textFill>
        </w:rPr>
        <w:t>择8家左右符合条件的保险机构组</w:t>
      </w:r>
      <w:r>
        <w:rPr>
          <w:rFonts w:hint="eastAsia" w:ascii="方正仿宋_GBK" w:hAnsi="仿宋" w:eastAsia="方正仿宋_GBK" w:cs="仿宋"/>
          <w:bCs/>
          <w:color w:val="000000" w:themeColor="text1"/>
          <w:sz w:val="32"/>
          <w:szCs w:val="32"/>
          <w14:textFill>
            <w14:solidFill>
              <w14:schemeClr w14:val="tx1"/>
            </w14:solidFill>
          </w14:textFill>
        </w:rPr>
        <w:t>建共保体；</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仿宋" w:eastAsia="方正仿宋_GBK" w:cs="仿宋"/>
          <w:bCs/>
          <w:color w:val="000000" w:themeColor="text1"/>
          <w:sz w:val="32"/>
          <w:szCs w:val="32"/>
          <w14:textFill>
            <w14:solidFill>
              <w14:schemeClr w14:val="tx1"/>
            </w14:solidFill>
          </w14:textFill>
        </w:rPr>
        <w:t>（三）由保险机构自主结合产生共保体。</w:t>
      </w:r>
    </w:p>
    <w:p>
      <w:pPr>
        <w:pStyle w:val="7"/>
        <w:shd w:val="clear" w:color="auto" w:fill="FFFFFF"/>
        <w:spacing w:before="0" w:beforeAutospacing="0" w:after="0" w:afterAutospacing="0" w:line="580" w:lineRule="exact"/>
        <w:ind w:firstLine="640" w:firstLineChars="200"/>
        <w:jc w:val="both"/>
        <w:textAlignment w:val="baseline"/>
        <w:rPr>
          <w:rFonts w:ascii="方正仿宋_GBK" w:hAnsi="Times New Roman" w:eastAsia="方正仿宋_GBK" w:cs="方正仿宋_GBK"/>
          <w:bCs/>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同一共保体内的保险机构应当建立保险条款、责任限额、费率规则、事故预防、理赔流程“五统一”承保模式。共保体</w:t>
      </w:r>
      <w:r>
        <w:rPr>
          <w:rFonts w:hint="eastAsia" w:ascii="方正仿宋_GBK" w:hAnsi="Times New Roman" w:eastAsia="方正仿宋_GBK" w:cs="方正仿宋_GBK"/>
          <w:bCs/>
          <w:color w:val="000000" w:themeColor="text1"/>
          <w:sz w:val="32"/>
          <w:szCs w:val="32"/>
          <w14:textFill>
            <w14:solidFill>
              <w14:schemeClr w14:val="tx1"/>
            </w14:solidFill>
          </w14:textFill>
        </w:rPr>
        <w:t>招标中得分最高的保险机构为首席承保人，共保体产生及相关管理制度建立后，可由首席承保人负责共保体日常运营。各保险机构在共保体的责任份额在招标文件中予以确定，自主结合产生共保体的责任份额自行确定。</w:t>
      </w:r>
    </w:p>
    <w:p>
      <w:pPr>
        <w:pStyle w:val="7"/>
        <w:shd w:val="clear" w:color="auto" w:fill="FFFFFF"/>
        <w:spacing w:before="0" w:beforeAutospacing="0" w:after="0" w:afterAutospacing="0" w:line="580" w:lineRule="exact"/>
        <w:ind w:firstLine="640" w:firstLineChars="200"/>
        <w:jc w:val="both"/>
        <w:textAlignment w:val="baseline"/>
        <w:rPr>
          <w:rFonts w:ascii="方正仿宋_GBK" w:hAnsi="Times New Roman" w:eastAsia="方正仿宋_GBK" w:cs="方正仿宋_GBK"/>
          <w:bCs/>
          <w:color w:val="000000" w:themeColor="text1"/>
          <w:sz w:val="32"/>
          <w:szCs w:val="32"/>
          <w14:textFill>
            <w14:solidFill>
              <w14:schemeClr w14:val="tx1"/>
            </w14:solidFill>
          </w14:textFill>
        </w:rPr>
      </w:pPr>
      <w:r>
        <w:rPr>
          <w:rFonts w:hint="eastAsia" w:ascii="方正仿宋_GBK" w:hAnsi="Times New Roman" w:eastAsia="方正仿宋_GBK" w:cs="方正仿宋_GBK"/>
          <w:bCs/>
          <w:color w:val="000000" w:themeColor="text1"/>
          <w:sz w:val="32"/>
          <w:szCs w:val="32"/>
          <w14:textFill>
            <w14:solidFill>
              <w14:schemeClr w14:val="tx1"/>
            </w14:solidFill>
          </w14:textFill>
        </w:rPr>
        <w:t>建立省保险机构共保体联席会议制度，联席会议成员单位为省住房城乡建设厅、各设区市住房城乡建设局和共保体首席承保人单位及其他相关单位，相应设立联席会议办公室，各设区市首席承保人单位占比最高的或全省承揽建设工程安责险份额最大的保险机构省级公司负责联席会议日常工作和联席会议办公室工作，联席会议办公室负责协助推进全省</w:t>
      </w:r>
      <w:r>
        <w:rPr>
          <w:rFonts w:hint="eastAsia" w:ascii="方正仿宋_GBK" w:hAnsi="Times New Roman" w:eastAsia="方正仿宋_GBK" w:cs="方正仿宋_GBK"/>
          <w:bCs/>
          <w:color w:val="000000" w:themeColor="text1"/>
          <w:kern w:val="2"/>
          <w:sz w:val="32"/>
          <w:szCs w:val="32"/>
          <w14:textFill>
            <w14:solidFill>
              <w14:schemeClr w14:val="tx1"/>
            </w14:solidFill>
          </w14:textFill>
        </w:rPr>
        <w:t>建设工程安责险实施、事故预防和有关纠纷调解工作，建立“省级建设工程</w:t>
      </w:r>
      <w:r>
        <w:rPr>
          <w:rFonts w:hint="eastAsia" w:ascii="方正仿宋_GBK" w:hAnsi="Times New Roman" w:eastAsia="方正仿宋_GBK" w:cs="方正仿宋_GBK"/>
          <w:bCs/>
          <w:color w:val="000000" w:themeColor="text1"/>
          <w:sz w:val="32"/>
          <w:szCs w:val="32"/>
          <w14:textFill>
            <w14:solidFill>
              <w14:schemeClr w14:val="tx1"/>
            </w14:solidFill>
          </w14:textFill>
        </w:rPr>
        <w:t>安全生产风险防控服务中心”，</w:t>
      </w:r>
      <w:r>
        <w:rPr>
          <w:rFonts w:hint="eastAsia" w:ascii="方正仿宋_GBK" w:hAnsi="Times New Roman" w:eastAsia="方正仿宋_GBK" w:cs="方正仿宋_GBK"/>
          <w:bCs/>
          <w:color w:val="000000" w:themeColor="text1"/>
          <w:kern w:val="2"/>
          <w:sz w:val="32"/>
          <w:szCs w:val="32"/>
          <w14:textFill>
            <w14:solidFill>
              <w14:schemeClr w14:val="tx1"/>
            </w14:solidFill>
          </w14:textFill>
        </w:rPr>
        <w:t>统筹全省建设工程风险控制服务工作，健全风险防控机制等（具体另行规定）。</w:t>
      </w:r>
    </w:p>
    <w:p>
      <w:pPr>
        <w:pStyle w:val="7"/>
        <w:shd w:val="clear" w:color="auto" w:fill="FFFFFF"/>
        <w:spacing w:before="0" w:beforeAutospacing="0" w:after="0" w:afterAutospacing="0" w:line="580" w:lineRule="exact"/>
        <w:ind w:firstLine="640" w:firstLineChars="200"/>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第七条（保险合同签订）</w:t>
      </w:r>
    </w:p>
    <w:p>
      <w:pPr>
        <w:pStyle w:val="7"/>
        <w:shd w:val="clear" w:color="auto" w:fill="FFFFFF"/>
        <w:spacing w:before="0" w:beforeAutospacing="0" w:after="0" w:afterAutospacing="0" w:line="580" w:lineRule="exact"/>
        <w:ind w:firstLine="627" w:firstLineChars="196"/>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投保建设工程安责险的施工单位，应当在新建工程项目办理施工许可手续节点之前，与保险机构就该项目签订建设工程安责险保险合同，并一次性支付合同约定的保险费。保险机构在收到全额保险费后应出具相应保险单。保险单</w:t>
      </w:r>
      <w:r>
        <w:rPr>
          <w:rFonts w:hint="eastAsia" w:ascii="方正仿宋_GBK" w:hAnsi="仿宋" w:eastAsia="方正仿宋_GBK"/>
          <w:color w:val="000000" w:themeColor="text1"/>
          <w:sz w:val="32"/>
          <w:szCs w:val="32"/>
          <w14:textFill>
            <w14:solidFill>
              <w14:schemeClr w14:val="tx1"/>
            </w14:solidFill>
          </w14:textFill>
        </w:rPr>
        <w:t>应标明项目名称、建设单位、工程总承包单位或专业承包单位名称、项目工期、保险缴费金额、保险责任限额、保险期限等信息，保险单实行电子化可查询。</w:t>
      </w:r>
    </w:p>
    <w:p>
      <w:pPr>
        <w:pStyle w:val="7"/>
        <w:shd w:val="clear" w:color="auto" w:fill="FFFFFF"/>
        <w:spacing w:before="0" w:beforeAutospacing="0" w:after="0" w:afterAutospacing="0" w:line="580" w:lineRule="exact"/>
        <w:ind w:firstLine="627" w:firstLineChars="196"/>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各设区市对已开工项目可按照以下两种情形处理（已投保保障范围与建设工程安责险相同类保险的在建项目除外）：</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（一）剩余工程造价低于总工程造价20%（含），或者剩余工期低于6个月的，企业可根据自身投保相关保险情况，自行确定是否投保，不做强制要求。</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（二）剩余工程造价超过总工程造价的</w:t>
      </w:r>
      <w:r>
        <w:rPr>
          <w:rFonts w:ascii="方正仿宋_GBK" w:hAnsi="Arial" w:eastAsia="方正仿宋_GBK" w:cs="Arial"/>
          <w:color w:val="000000" w:themeColor="text1"/>
          <w:sz w:val="32"/>
          <w:szCs w:val="32"/>
          <w14:textFill>
            <w14:solidFill>
              <w14:schemeClr w14:val="tx1"/>
            </w14:solidFill>
          </w14:textFill>
        </w:rPr>
        <w:t>2</w:t>
      </w:r>
      <w:r>
        <w:rPr>
          <w:rFonts w:hint="eastAsia" w:ascii="方正仿宋_GBK" w:hAnsi="Arial" w:eastAsia="方正仿宋_GBK" w:cs="Arial"/>
          <w:color w:val="000000" w:themeColor="text1"/>
          <w:sz w:val="32"/>
          <w:szCs w:val="32"/>
          <w14:textFill>
            <w14:solidFill>
              <w14:schemeClr w14:val="tx1"/>
            </w14:solidFill>
          </w14:textFill>
        </w:rPr>
        <w:t>0%（不含），或者剩余工期超过</w:t>
      </w:r>
      <w:r>
        <w:rPr>
          <w:rFonts w:ascii="方正仿宋_GBK" w:hAnsi="Arial" w:eastAsia="方正仿宋_GBK" w:cs="Arial"/>
          <w:color w:val="000000" w:themeColor="text1"/>
          <w:sz w:val="32"/>
          <w:szCs w:val="32"/>
          <w14:textFill>
            <w14:solidFill>
              <w14:schemeClr w14:val="tx1"/>
            </w14:solidFill>
          </w14:textFill>
        </w:rPr>
        <w:t>6</w:t>
      </w:r>
      <w:r>
        <w:rPr>
          <w:rFonts w:hint="eastAsia" w:ascii="方正仿宋_GBK" w:hAnsi="Arial" w:eastAsia="方正仿宋_GBK" w:cs="Arial"/>
          <w:color w:val="000000" w:themeColor="text1"/>
          <w:sz w:val="32"/>
          <w:szCs w:val="32"/>
          <w14:textFill>
            <w14:solidFill>
              <w14:schemeClr w14:val="tx1"/>
            </w14:solidFill>
          </w14:textFill>
        </w:rPr>
        <w:t>个月的，企业应当按照剩余工程量投保；费率可适用短期费率系数：剩余工程天数/工程合同天数（以保险条款为准）。</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上述合同价格和合同工期以工程中标通知为准；未招标的工程项目，以施工合同为准。</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在投保人提供已完工的单位工程或分部分项工程竣工验收记录，且承保人认可情况下，投保人可按照剩余工程量投保，未投保部分不纳入安责险保障范围。如双方对工程竣工验收记录有异议，以属地工程质量监督机构结合单位工程质量竣工验收监督记录的认定意见为准。</w:t>
      </w:r>
    </w:p>
    <w:p>
      <w:pPr>
        <w:pStyle w:val="7"/>
        <w:shd w:val="clear" w:color="auto" w:fill="FFFFFF"/>
        <w:spacing w:before="0" w:beforeAutospacing="0" w:after="0" w:afterAutospacing="0" w:line="580" w:lineRule="exact"/>
        <w:ind w:firstLine="640" w:firstLineChars="200"/>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第八条（承保范围和保险期限）</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保险机构应当使用经保险监管部门审批或者备案的建设工程安全生产责任保险条款。建设工程安责险的保障范围包括：</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保险责任明确为在保险单载明的建设工程项目的施工地址或区域范围内，因发生生产安全事故导致的下列损失：</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（一）从业人员人身损害；</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（二）第三者人身损害和财产损失；</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（三）事故抢险救援、医疗救护、事故鉴定、法律诉讼费用等。</w:t>
      </w:r>
    </w:p>
    <w:p>
      <w:pPr>
        <w:autoSpaceDE w:val="0"/>
        <w:autoSpaceDN w:val="0"/>
        <w:adjustRightInd w:val="0"/>
        <w:spacing w:line="580" w:lineRule="exact"/>
        <w:ind w:firstLine="640" w:firstLineChars="200"/>
        <w:rPr>
          <w:rFonts w:ascii="方正仿宋_GBK" w:hAnsi="仿宋" w:eastAsia="方正仿宋_GBK"/>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保险费交纳应在建设工程项目动工或用于建设工程项目的材料、首批设备运抵施工地址之时前，或建设工程施工合同规定的开始时间前，具体保险期限自保险费交纳之日起</w:t>
      </w:r>
      <w:r>
        <w:rPr>
          <w:rFonts w:hint="eastAsia" w:ascii="方正仿宋_GBK" w:hAnsi="仿宋" w:eastAsia="方正仿宋_GBK"/>
          <w:color w:val="000000" w:themeColor="text1"/>
          <w:sz w:val="32"/>
          <w:szCs w:val="32"/>
          <w14:textFill>
            <w14:solidFill>
              <w14:schemeClr w14:val="tx1"/>
            </w14:solidFill>
          </w14:textFill>
        </w:rPr>
        <w:t>至工程竣工验收合格之日止（“江苏省建筑施工安全管理系统”自动推送相关信息至建设工程安责险综合</w:t>
      </w:r>
      <w:r>
        <w:rPr>
          <w:rFonts w:hint="eastAsia" w:ascii="方正仿宋_GBK" w:hAnsi="Times New Roman" w:eastAsia="方正仿宋_GBK" w:cs="方正仿宋_GBK"/>
          <w:bCs/>
          <w:color w:val="000000" w:themeColor="text1"/>
          <w:sz w:val="32"/>
          <w:szCs w:val="32"/>
          <w14:textFill>
            <w14:solidFill>
              <w14:schemeClr w14:val="tx1"/>
            </w14:solidFill>
          </w14:textFill>
        </w:rPr>
        <w:t>服务管</w:t>
      </w:r>
      <w:r>
        <w:rPr>
          <w:rFonts w:hint="eastAsia" w:ascii="方正仿宋_GBK" w:hAnsi="仿宋" w:eastAsia="方正仿宋_GBK" w:cs="方正仿宋_GBK"/>
          <w:bCs/>
          <w:color w:val="000000" w:themeColor="text1"/>
          <w:sz w:val="32"/>
          <w:szCs w:val="32"/>
          <w14:textFill>
            <w14:solidFill>
              <w14:schemeClr w14:val="tx1"/>
            </w14:solidFill>
          </w14:textFill>
        </w:rPr>
        <w:t>理信息平台</w:t>
      </w:r>
      <w:r>
        <w:rPr>
          <w:rFonts w:hint="eastAsia" w:ascii="方正仿宋_GBK" w:hAnsi="仿宋" w:eastAsia="方正仿宋_GBK"/>
          <w:color w:val="000000" w:themeColor="text1"/>
          <w:sz w:val="32"/>
          <w:szCs w:val="32"/>
          <w14:textFill>
            <w14:solidFill>
              <w14:schemeClr w14:val="tx1"/>
            </w14:solidFill>
          </w14:textFill>
        </w:rPr>
        <w:t>）。</w:t>
      </w:r>
      <w:r>
        <w:rPr>
          <w:rFonts w:hint="eastAsia" w:ascii="方正仿宋_GBK" w:hAnsi="Arial" w:eastAsia="方正仿宋_GBK" w:cs="Arial"/>
          <w:color w:val="000000" w:themeColor="text1"/>
          <w:sz w:val="32"/>
          <w:szCs w:val="32"/>
          <w14:textFill>
            <w14:solidFill>
              <w14:schemeClr w14:val="tx1"/>
            </w14:solidFill>
          </w14:textFill>
        </w:rPr>
        <w:t>保险期限后发生的任何损失、费用和责任，保险机构不负责赔偿。</w:t>
      </w:r>
      <w:r>
        <w:rPr>
          <w:rFonts w:hint="eastAsia" w:ascii="方正仿宋_GBK" w:hAnsi="仿宋" w:eastAsia="方正仿宋_GBK"/>
          <w:color w:val="000000" w:themeColor="text1"/>
          <w:sz w:val="32"/>
          <w:szCs w:val="32"/>
          <w14:textFill>
            <w14:solidFill>
              <w14:schemeClr w14:val="tx1"/>
            </w14:solidFill>
          </w14:textFill>
        </w:rPr>
        <w:t>工程完工后提供责任保修合同的，经保险公司同意，有关人员可以申请顺延至缺陷责任期满。</w:t>
      </w:r>
    </w:p>
    <w:p>
      <w:pPr>
        <w:pStyle w:val="7"/>
        <w:shd w:val="clear" w:color="auto" w:fill="FFFFFF"/>
        <w:spacing w:before="0" w:beforeAutospacing="0" w:after="0" w:afterAutospacing="0" w:line="580" w:lineRule="exact"/>
        <w:ind w:firstLine="640" w:firstLineChars="200"/>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第九条（除外责任）</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投保单位、投保单位的从业人员或者第三者故意行为、打架、罢工、骚乱、暴动、恐怖活动或者不可抗力造成的生产安全事故（台风、暴雨、洪水等自然灾害除外），投保单位从业人员及第三者罹患疾病的损失、间接损失、不属于本意见规定的保险责任。</w:t>
      </w:r>
    </w:p>
    <w:p>
      <w:pPr>
        <w:pStyle w:val="7"/>
        <w:shd w:val="clear" w:color="auto" w:fill="FFFFFF"/>
        <w:spacing w:before="0" w:beforeAutospacing="0" w:after="0" w:afterAutospacing="0" w:line="580" w:lineRule="exact"/>
        <w:ind w:firstLine="640" w:firstLineChars="200"/>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第十条（保费计算）</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方正仿宋_GBK"/>
          <w:bCs/>
          <w:color w:val="000000" w:themeColor="text1"/>
          <w:sz w:val="32"/>
          <w:szCs w:val="32"/>
          <w14:textFill>
            <w14:solidFill>
              <w14:schemeClr w14:val="tx1"/>
            </w14:solidFill>
          </w14:textFill>
        </w:rPr>
        <w:t>建设工程安责险的保费计算基数为建设工程项目的合同总造价（拆除工程除外），费率采用动态调整机制，分为基准费率和浮动费率系数，费率调整根据保险责任限额、建设工程类别、风险程度和施工企业安全生产标准化、事故记录等综合因素确定，并定期调整。（参考标准详见附件2《江苏省建设工程安责险参考费率表》）</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Times New Roman"/>
          <w:bCs/>
          <w:color w:val="000000" w:themeColor="text1"/>
          <w:sz w:val="32"/>
          <w:szCs w:val="32"/>
          <w14:textFill>
            <w14:solidFill>
              <w14:schemeClr w14:val="tx1"/>
            </w14:solidFill>
          </w14:textFill>
        </w:rPr>
        <w:t>（一）</w:t>
      </w:r>
      <w:r>
        <w:rPr>
          <w:rFonts w:hint="eastAsia" w:ascii="Times New Roman" w:hAnsi="Times New Roman" w:eastAsia="方正仿宋_GBK" w:cs="方正仿宋_GBK"/>
          <w:bCs/>
          <w:color w:val="000000" w:themeColor="text1"/>
          <w:sz w:val="32"/>
          <w:szCs w:val="32"/>
          <w14:textFill>
            <w14:solidFill>
              <w14:schemeClr w14:val="tx1"/>
            </w14:solidFill>
          </w14:textFill>
        </w:rPr>
        <w:t>费率设计</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方正仿宋_GBK"/>
          <w:bCs/>
          <w:color w:val="000000" w:themeColor="text1"/>
          <w:sz w:val="32"/>
          <w:szCs w:val="32"/>
          <w14:textFill>
            <w14:solidFill>
              <w14:schemeClr w14:val="tx1"/>
            </w14:solidFill>
          </w14:textFill>
        </w:rPr>
        <w:t>本意见提出基准费率和浮动费率系数参考标准（见附件2），各设区市建设主管部门可商保险机构确定本地区建设工程安责险基准费率和浮动费率系数，并在运行一定周期后（建议三年），对辖区内建设工程保险费率、赔付情况、事故预防开支等相关数据分析基础上，按照保险机构保本微利和事故预防服务与保险理赔服务并重的原则，保险机构及时调整基准费率、浮动费率系数和</w:t>
      </w:r>
      <w:r>
        <w:rPr>
          <w:rFonts w:hint="eastAsia" w:ascii="方正仿宋_GBK" w:hAnsi="Arial" w:eastAsia="方正仿宋_GBK" w:cs="Arial"/>
          <w:color w:val="000000" w:themeColor="text1"/>
          <w:sz w:val="32"/>
          <w:szCs w:val="32"/>
          <w14:textFill>
            <w14:solidFill>
              <w14:schemeClr w14:val="tx1"/>
            </w14:solidFill>
          </w14:textFill>
        </w:rPr>
        <w:t>事故预防专项资金提取比例</w:t>
      </w:r>
      <w:r>
        <w:rPr>
          <w:rFonts w:hint="eastAsia" w:ascii="Times New Roman" w:hAnsi="Times New Roman" w:eastAsia="方正仿宋_GBK" w:cs="方正仿宋_GBK"/>
          <w:bCs/>
          <w:color w:val="000000" w:themeColor="text1"/>
          <w:sz w:val="32"/>
          <w:szCs w:val="32"/>
          <w14:textFill>
            <w14:solidFill>
              <w14:schemeClr w14:val="tx1"/>
            </w14:solidFill>
          </w14:textFill>
        </w:rPr>
        <w:t>，并报省住房和城乡建设厅。</w:t>
      </w:r>
    </w:p>
    <w:p>
      <w:pPr>
        <w:spacing w:line="580" w:lineRule="exact"/>
        <w:ind w:left="64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Times New Roman" w:hAnsi="Times New Roman" w:eastAsia="方正仿宋_GBK" w:cs="方正仿宋_GBK"/>
          <w:bCs/>
          <w:color w:val="000000" w:themeColor="text1"/>
          <w:sz w:val="32"/>
          <w:szCs w:val="32"/>
          <w14:textFill>
            <w14:solidFill>
              <w14:schemeClr w14:val="tx1"/>
            </w14:solidFill>
          </w14:textFill>
        </w:rPr>
        <w:t>（二）计算方法</w:t>
      </w:r>
    </w:p>
    <w:p>
      <w:pPr>
        <w:spacing w:line="580" w:lineRule="exact"/>
        <w:ind w:firstLine="640" w:firstLineChars="200"/>
        <w:rPr>
          <w:rFonts w:ascii="Times New Roman" w:hAnsi="Times New Roman" w:eastAsia="方正仿宋_GBK" w:cs="方正仿宋_GBK"/>
          <w:bCs/>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应缴保费=建设工程项目总造价（中标价或合同价）</w:t>
      </w:r>
      <w:r>
        <w:rPr>
          <w:rFonts w:hint="eastAsia" w:ascii="方正仿宋_GBK" w:hAnsi="Times New Roman" w:eastAsia="方正仿宋_GBK" w:cs="方正仿宋_GBK"/>
          <w:bCs/>
          <w:color w:val="000000" w:themeColor="text1"/>
          <w:sz w:val="32"/>
          <w:szCs w:val="32"/>
          <w14:textFill>
            <w14:solidFill>
              <w14:schemeClr w14:val="tx1"/>
            </w14:solidFill>
          </w14:textFill>
        </w:rPr>
        <w:t>×基准（执行）费率×浮动费率系数。</w:t>
      </w:r>
    </w:p>
    <w:p>
      <w:pPr>
        <w:spacing w:line="580" w:lineRule="exact"/>
        <w:ind w:firstLine="640" w:firstLineChars="200"/>
        <w:rPr>
          <w:rFonts w:ascii="方正黑体_GBK" w:hAnsi="Times New Roman" w:eastAsia="方正黑体_GBK" w:cs="方正仿宋_GBK"/>
          <w:bCs/>
          <w:color w:val="000000" w:themeColor="text1"/>
          <w:sz w:val="32"/>
          <w:szCs w:val="32"/>
          <w14:textFill>
            <w14:solidFill>
              <w14:schemeClr w14:val="tx1"/>
            </w14:solidFill>
          </w14:textFill>
        </w:rPr>
      </w:pPr>
      <w:r>
        <w:rPr>
          <w:rFonts w:hint="eastAsia" w:ascii="方正黑体_GBK" w:hAnsi="Times New Roman" w:eastAsia="方正黑体_GBK" w:cs="方正仿宋_GBK"/>
          <w:bCs/>
          <w:color w:val="000000" w:themeColor="text1"/>
          <w:sz w:val="32"/>
          <w:szCs w:val="32"/>
          <w14:textFill>
            <w14:solidFill>
              <w14:schemeClr w14:val="tx1"/>
            </w14:solidFill>
          </w14:textFill>
        </w:rPr>
        <w:t>第十一条（保险责任限额）</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Times New Roman" w:hAnsi="Times New Roman" w:eastAsia="方正仿宋_GBK" w:cs="方正仿宋_GBK"/>
          <w:bCs/>
          <w:color w:val="000000" w:themeColor="text1"/>
          <w:sz w:val="32"/>
          <w:szCs w:val="32"/>
          <w14:textFill>
            <w14:solidFill>
              <w14:schemeClr w14:val="tx1"/>
            </w14:solidFill>
          </w14:textFill>
        </w:rPr>
        <w:t>保险责任限额应当至少包括</w:t>
      </w:r>
      <w:r>
        <w:rPr>
          <w:rFonts w:hint="eastAsia" w:ascii="方正仿宋_GBK" w:hAnsi="Arial" w:eastAsia="方正仿宋_GBK" w:cs="Arial"/>
          <w:color w:val="000000" w:themeColor="text1"/>
          <w:sz w:val="32"/>
          <w:szCs w:val="32"/>
          <w14:textFill>
            <w14:solidFill>
              <w14:schemeClr w14:val="tx1"/>
            </w14:solidFill>
          </w14:textFill>
        </w:rPr>
        <w:t>人员伤亡和第三者财产损失、事故抢险救援、医疗救护、法律诉讼费用等部分。</w:t>
      </w:r>
      <w:r>
        <w:rPr>
          <w:rFonts w:hint="eastAsia" w:ascii="Times New Roman" w:hAnsi="Times New Roman" w:eastAsia="方正仿宋_GBK" w:cs="方正仿宋_GBK"/>
          <w:bCs/>
          <w:color w:val="000000" w:themeColor="text1"/>
          <w:sz w:val="32"/>
          <w:szCs w:val="32"/>
          <w14:textFill>
            <w14:solidFill>
              <w14:schemeClr w14:val="tx1"/>
            </w14:solidFill>
          </w14:textFill>
        </w:rPr>
        <w:t>本意见提出A、B两档赔付限额方案供参考（详见附件3《江苏省建筑施工安责险赔付限额说明》），各设区市建设主管部门可选择执行一档赔付限额或两档赔付限额方案。在运行一定周期后（建议三年），</w:t>
      </w:r>
      <w:r>
        <w:rPr>
          <w:rFonts w:hint="eastAsia" w:ascii="方正仿宋_GBK" w:hAnsi="Arial" w:eastAsia="方正仿宋_GBK" w:cs="Arial"/>
          <w:color w:val="000000" w:themeColor="text1"/>
          <w:sz w:val="32"/>
          <w:szCs w:val="32"/>
          <w14:textFill>
            <w14:solidFill>
              <w14:schemeClr w14:val="tx1"/>
            </w14:solidFill>
          </w14:textFill>
        </w:rPr>
        <w:t>可结合建设工程的风险程度、工程造价和赔付情况适当提高赔付限额，并根据本市城镇居民年度人均可支配收入的变化适时调整。</w:t>
      </w:r>
    </w:p>
    <w:p>
      <w:pPr>
        <w:spacing w:line="580" w:lineRule="exact"/>
        <w:ind w:firstLine="640" w:firstLineChars="200"/>
        <w:rPr>
          <w:rFonts w:ascii="方正仿宋_GBK" w:hAnsi="宋体" w:eastAsia="方正仿宋_GBK" w:cs="宋体"/>
          <w:bCs/>
          <w:color w:val="000000" w:themeColor="text1"/>
          <w:sz w:val="32"/>
          <w:szCs w:val="32"/>
          <w14:textFill>
            <w14:solidFill>
              <w14:schemeClr w14:val="tx1"/>
            </w14:solidFill>
          </w14:textFill>
        </w:rPr>
      </w:pPr>
      <w:r>
        <w:rPr>
          <w:rFonts w:hint="eastAsia" w:ascii="方正仿宋_GBK" w:hAnsi="Times New Roman" w:eastAsia="方正仿宋_GBK" w:cs="方正仿宋_GBK"/>
          <w:bCs/>
          <w:color w:val="000000" w:themeColor="text1"/>
          <w:sz w:val="32"/>
          <w:szCs w:val="32"/>
          <w14:textFill>
            <w14:solidFill>
              <w14:schemeClr w14:val="tx1"/>
            </w14:solidFill>
          </w14:textFill>
        </w:rPr>
        <w:t>被保险人依法获得的安责险赔偿，不影响投保单位从业人员依法请求工伤保险赔</w:t>
      </w:r>
      <w:r>
        <w:rPr>
          <w:rFonts w:hint="eastAsia" w:ascii="方正仿宋_GBK" w:hAnsi="宋体" w:eastAsia="方正仿宋_GBK" w:cs="宋体"/>
          <w:bCs/>
          <w:color w:val="000000" w:themeColor="text1"/>
          <w:sz w:val="32"/>
          <w:szCs w:val="32"/>
          <w14:textFill>
            <w14:solidFill>
              <w14:schemeClr w14:val="tx1"/>
            </w14:solidFill>
          </w14:textFill>
        </w:rPr>
        <w:t>偿的权利。</w:t>
      </w:r>
    </w:p>
    <w:p>
      <w:pPr>
        <w:spacing w:line="580" w:lineRule="exact"/>
        <w:ind w:firstLine="640" w:firstLineChars="200"/>
        <w:rPr>
          <w:rFonts w:ascii="方正仿宋_GBK" w:hAnsi="Times New Roman" w:eastAsia="方正仿宋_GBK" w:cs="方正仿宋_GBK"/>
          <w:bCs/>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480"/>
        <w:jc w:val="center"/>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第三章事故预防与理赔</w:t>
      </w:r>
    </w:p>
    <w:p>
      <w:pPr>
        <w:pStyle w:val="7"/>
        <w:shd w:val="clear" w:color="auto" w:fill="FFFFFF"/>
        <w:spacing w:before="0" w:beforeAutospacing="0" w:after="0" w:afterAutospacing="0" w:line="580" w:lineRule="exact"/>
        <w:ind w:firstLine="480"/>
        <w:jc w:val="center"/>
        <w:textAlignment w:val="baseline"/>
        <w:rPr>
          <w:rFonts w:ascii="方正黑体_GBK" w:hAnsi="Arial" w:eastAsia="方正黑体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640" w:firstLineChars="200"/>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第十二条（服务形式）</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应建立完善事故预防服务制度，突出建设工程安责险的风险评估管控和事故预防功能，为投保单位提供事故预防服务，帮助投保单位提高安全管理水平。保险机构应通过以下形式为投保单位提供事故预防技术服务：</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（一）依靠自身安全专业技术人员；</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（二）委托安全生产技术服务机构；</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（三）聘请外部安全生产专业技术人员；</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（四）委托保险经纪人。</w:t>
      </w:r>
    </w:p>
    <w:p>
      <w:pPr>
        <w:pStyle w:val="7"/>
        <w:shd w:val="clear" w:color="auto" w:fill="FFFFFF"/>
        <w:spacing w:before="0" w:beforeAutospacing="0" w:after="0" w:afterAutospacing="0" w:line="580" w:lineRule="exact"/>
        <w:ind w:firstLine="672"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微软雅黑" w:eastAsia="方正仿宋_GBK"/>
          <w:color w:val="000000"/>
          <w:spacing w:val="8"/>
          <w:sz w:val="32"/>
          <w:szCs w:val="32"/>
        </w:rPr>
        <w:t>鼓励保险机构间整合</w:t>
      </w:r>
      <w:r>
        <w:rPr>
          <w:rFonts w:hint="eastAsia" w:ascii="方正仿宋_GBK" w:hAnsi="Arial" w:eastAsia="方正仿宋_GBK" w:cs="Arial"/>
          <w:color w:val="000000" w:themeColor="text1"/>
          <w:sz w:val="32"/>
          <w:szCs w:val="32"/>
          <w14:textFill>
            <w14:solidFill>
              <w14:schemeClr w14:val="tx1"/>
            </w14:solidFill>
          </w14:textFill>
        </w:rPr>
        <w:t>安全专业技术力量，</w:t>
      </w:r>
      <w:r>
        <w:rPr>
          <w:rFonts w:hint="eastAsia" w:ascii="方正仿宋_GBK" w:hAnsi="微软雅黑" w:eastAsia="方正仿宋_GBK"/>
          <w:color w:val="000000"/>
          <w:spacing w:val="8"/>
          <w:sz w:val="32"/>
          <w:szCs w:val="32"/>
        </w:rPr>
        <w:t>将事故预防服务工作交由具备更强专业技术服务力量的保险机构或共保体统筹开展。</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保险机构应当与投保单位沟通并协商一致，根据其生产规模、风险分布、人员状况、安全管理基础和历史事故情况，结合安全生产目标和工作需求，制定事故预防服务技术方案并开展事故预防服务。</w:t>
      </w:r>
    </w:p>
    <w:p>
      <w:pPr>
        <w:pStyle w:val="7"/>
        <w:shd w:val="clear" w:color="auto" w:fill="FFFFFF"/>
        <w:spacing w:before="0" w:beforeAutospacing="0" w:after="0" w:afterAutospacing="0" w:line="580" w:lineRule="exact"/>
        <w:ind w:firstLine="636" w:firstLineChars="199"/>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第十三条（服务项目）</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根据《安全生产责任保险事故预防技术服务规范》中的服务项目开展以下工作：</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（一）安全生产宣传教育培训；</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（二）安全风险辨识、评估和安全评价；</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（三）生产安全事故隐患排查；</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（四）安全生产标准化建设；</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（五）生产安全事故应急预案的编制和演练；</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（六）安全生产科技推广应用；</w:t>
      </w:r>
    </w:p>
    <w:p>
      <w:pPr>
        <w:pStyle w:val="7"/>
        <w:numPr>
          <w:ilvl w:val="0"/>
          <w:numId w:val="2"/>
        </w:numPr>
        <w:shd w:val="clear" w:color="auto" w:fill="FFFFFF"/>
        <w:spacing w:before="0" w:beforeAutospacing="0" w:after="0" w:afterAutospacing="0" w:line="580" w:lineRule="exact"/>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其他满足行业监管需求的事故预防工作。</w:t>
      </w:r>
    </w:p>
    <w:p>
      <w:pPr>
        <w:spacing w:line="580" w:lineRule="exact"/>
        <w:ind w:firstLine="640" w:firstLineChars="200"/>
        <w:jc w:val="left"/>
        <w:rPr>
          <w:rFonts w:ascii="方正仿宋_GBK" w:hAnsi="Times New Roman" w:eastAsia="方正仿宋_GBK" w:cs="方正仿宋_GBK"/>
          <w:bCs/>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具体服务内容和频次应在保险合同中约定。保险机构不应以任何理由拒绝履行保险合同约定的服务义务，不应另行收取费用。保险机构应根据项目规模每年至少为投保单位提供一次上述第（一）、（二）、（三）项服务。</w:t>
      </w:r>
      <w:r>
        <w:rPr>
          <w:rFonts w:hint="eastAsia" w:ascii="方正仿宋_GBK" w:hAnsi="Times New Roman" w:eastAsia="方正仿宋_GBK" w:cs="方正仿宋_GBK"/>
          <w:bCs/>
          <w:color w:val="000000" w:themeColor="text1"/>
          <w:sz w:val="32"/>
          <w:szCs w:val="32"/>
          <w14:textFill>
            <w14:solidFill>
              <w14:schemeClr w14:val="tx1"/>
            </w14:solidFill>
          </w14:textFill>
        </w:rPr>
        <w:t>其中在生产安全事故隐患排查中，建筑起重机械、高大支模架、深基坑、脚手架、生活区消防安全等隐患易发部位及薄弱点为必查项目。具体服务指引另行规定。</w:t>
      </w:r>
    </w:p>
    <w:p>
      <w:pPr>
        <w:pStyle w:val="7"/>
        <w:shd w:val="clear" w:color="auto" w:fill="FFFFFF"/>
        <w:spacing w:before="0" w:beforeAutospacing="0" w:after="0" w:afterAutospacing="0" w:line="580" w:lineRule="exact"/>
        <w:ind w:firstLine="636" w:firstLineChars="199"/>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第十四条（服务流程和质量）</w:t>
      </w:r>
    </w:p>
    <w:p>
      <w:pPr>
        <w:pStyle w:val="9"/>
        <w:wordWrap/>
        <w:spacing w:line="580" w:lineRule="exact"/>
        <w:rPr>
          <w:rFonts w:ascii="方正仿宋_GBK" w:hAnsi="Arial"/>
          <w:color w:val="000000" w:themeColor="text1"/>
          <w:sz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保险机构应按照“服务行业、服务企业”的原则，在行业主管部门的指导下，</w:t>
      </w:r>
      <w:r>
        <w:rPr>
          <w:rFonts w:hint="eastAsia" w:ascii="方正仿宋_GBK" w:hAnsi="Times New Roman" w:eastAsia="方正仿宋_GBK" w:cs="方正仿宋_GBK"/>
          <w:bCs/>
          <w:color w:val="000000" w:themeColor="text1"/>
          <w:sz w:val="32"/>
          <w:szCs w:val="32"/>
          <w14:textFill>
            <w14:solidFill>
              <w14:schemeClr w14:val="tx1"/>
            </w14:solidFill>
          </w14:textFill>
        </w:rPr>
        <w:t>建立有效的事故预防服务流程及标准。</w:t>
      </w:r>
      <w:r>
        <w:rPr>
          <w:rFonts w:hint="eastAsia" w:ascii="方正仿宋_GBK" w:hAnsi="Arial" w:eastAsia="方正仿宋_GBK" w:cs="Arial"/>
          <w:color w:val="000000" w:themeColor="text1"/>
          <w:sz w:val="32"/>
          <w:szCs w:val="32"/>
          <w14:textFill>
            <w14:solidFill>
              <w14:schemeClr w14:val="tx1"/>
            </w14:solidFill>
          </w14:textFill>
        </w:rPr>
        <w:t>开展事故预防服务之前，应提前与建设主管部门及投保单位沟通，确认服务项目、服务覆盖面、服务措施和服务时间。事故预防服务应依托信息化平台，按照“点面结合”原则开展，</w:t>
      </w:r>
      <w:r>
        <w:rPr>
          <w:rFonts w:hint="eastAsia" w:ascii="方正仿宋_GBK" w:hAnsi="Times New Roman" w:eastAsia="方正仿宋_GBK" w:cs="方正仿宋_GBK"/>
          <w:bCs/>
          <w:sz w:val="32"/>
          <w:szCs w:val="32"/>
        </w:rPr>
        <w:t>并</w:t>
      </w:r>
      <w:r>
        <w:rPr>
          <w:rFonts w:hint="eastAsia" w:ascii="方正仿宋_GBK" w:hAnsi="Times New Roman" w:eastAsia="方正仿宋_GBK" w:cs="方正仿宋_GBK"/>
          <w:bCs/>
          <w:color w:val="000000" w:themeColor="text1"/>
          <w:sz w:val="32"/>
          <w:szCs w:val="32"/>
          <w14:textFill>
            <w14:solidFill>
              <w14:schemeClr w14:val="tx1"/>
            </w14:solidFill>
          </w14:textFill>
        </w:rPr>
        <w:t>实现事故预防服务全过程灵活高效、数字化、痕迹化管理。</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w:t>
      </w:r>
      <w:r>
        <w:rPr>
          <w:rFonts w:hint="eastAsia" w:ascii="方正仿宋_GBK" w:hAnsi="Times New Roman" w:eastAsia="方正仿宋_GBK" w:cs="方正仿宋_GBK"/>
          <w:bCs/>
          <w:color w:val="000000" w:themeColor="text1"/>
          <w:sz w:val="32"/>
          <w:szCs w:val="32"/>
          <w14:textFill>
            <w14:solidFill>
              <w14:schemeClr w14:val="tx1"/>
            </w14:solidFill>
          </w14:textFill>
        </w:rPr>
        <w:t>应建立完善的事故预防服务质量保障体系，</w:t>
      </w:r>
      <w:r>
        <w:rPr>
          <w:rFonts w:hint="eastAsia" w:ascii="方正仿宋_GBK" w:hAnsi="Arial" w:eastAsia="方正仿宋_GBK" w:cs="Arial"/>
          <w:color w:val="000000" w:themeColor="text1"/>
          <w:sz w:val="32"/>
          <w:szCs w:val="32"/>
          <w14:textFill>
            <w14:solidFill>
              <w14:schemeClr w14:val="tx1"/>
            </w14:solidFill>
          </w14:textFill>
        </w:rPr>
        <w:t>建立相关安全生产技术服务机构备案、认定、评价制度。</w:t>
      </w:r>
      <w:r>
        <w:rPr>
          <w:rFonts w:hint="eastAsia" w:ascii="方正仿宋_GBK" w:hAnsi="Times New Roman" w:eastAsia="方正仿宋_GBK" w:cs="方正仿宋_GBK"/>
          <w:bCs/>
          <w:color w:val="000000" w:themeColor="text1"/>
          <w:sz w:val="32"/>
          <w:szCs w:val="32"/>
          <w14:textFill>
            <w14:solidFill>
              <w14:schemeClr w14:val="tx1"/>
            </w14:solidFill>
          </w14:textFill>
        </w:rPr>
        <w:t>对服务机构、服务专家</w:t>
      </w:r>
      <w:r>
        <w:rPr>
          <w:rFonts w:hint="eastAsia" w:ascii="方正仿宋_GBK" w:hAnsi="Arial" w:eastAsia="方正仿宋_GBK" w:cs="Arial"/>
          <w:color w:val="000000" w:themeColor="text1"/>
          <w:sz w:val="32"/>
          <w:szCs w:val="32"/>
          <w14:textFill>
            <w14:solidFill>
              <w14:schemeClr w14:val="tx1"/>
            </w14:solidFill>
          </w14:textFill>
        </w:rPr>
        <w:t>建立名录制度（服务机构、专家需经建设主管部门认可），并</w:t>
      </w:r>
      <w:r>
        <w:rPr>
          <w:rFonts w:hint="eastAsia" w:ascii="方正仿宋_GBK" w:hAnsi="Times New Roman" w:eastAsia="方正仿宋_GBK" w:cs="方正仿宋_GBK"/>
          <w:bCs/>
          <w:color w:val="000000" w:themeColor="text1"/>
          <w:sz w:val="32"/>
          <w:szCs w:val="32"/>
          <w14:textFill>
            <w14:solidFill>
              <w14:schemeClr w14:val="tx1"/>
            </w14:solidFill>
          </w14:textFill>
        </w:rPr>
        <w:t>设计和建立信用积分体系，实现对服务质量的有效保障、服务专家的有效考核。</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w:t>
      </w:r>
      <w:r>
        <w:rPr>
          <w:rFonts w:hint="eastAsia" w:ascii="方正仿宋_GBK" w:hAnsi="Times New Roman" w:eastAsia="方正仿宋_GBK" w:cs="方正仿宋_GBK"/>
          <w:bCs/>
          <w:color w:val="000000" w:themeColor="text1"/>
          <w:sz w:val="32"/>
          <w:szCs w:val="32"/>
          <w14:textFill>
            <w14:solidFill>
              <w14:schemeClr w14:val="tx1"/>
            </w14:solidFill>
          </w14:textFill>
        </w:rPr>
        <w:t>应选择经验丰富、技术过硬、素养较高的专家开展事故预防服务工作，专家可从省、设区市建筑施工安全生产专家库中选取。</w:t>
      </w:r>
      <w:r>
        <w:rPr>
          <w:rFonts w:hint="eastAsia" w:ascii="方正仿宋_GBK" w:hAnsi="Arial" w:eastAsia="方正仿宋_GBK" w:cs="Arial"/>
          <w:color w:val="000000" w:themeColor="text1"/>
          <w:sz w:val="32"/>
          <w:szCs w:val="32"/>
          <w14:textFill>
            <w14:solidFill>
              <w14:schemeClr w14:val="tx1"/>
            </w14:solidFill>
          </w14:textFill>
        </w:rPr>
        <w:t>保险机构应为投保单位建立服务档案，记录和保留事故预防技术服务的文档资料，确保服务过程、服务结果可追溯。保险机构应确保服务档案真实完整，至少保留5年，其间不得丢失、篡改、隐匿和销毁。</w:t>
      </w:r>
    </w:p>
    <w:p>
      <w:pPr>
        <w:spacing w:line="580" w:lineRule="exact"/>
        <w:ind w:firstLine="640" w:firstLineChars="200"/>
        <w:rPr>
          <w:rFonts w:ascii="方正仿宋_GBK" w:hAnsi="宋体" w:eastAsia="方正仿宋_GBK" w:cs="宋体"/>
          <w:bCs/>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保险机构开展事故预防服务时，投保单位应予以配合，如实告知保险合同中明确的重要事项，并对排查发现的事故隐患进行整改。</w:t>
      </w:r>
      <w:r>
        <w:rPr>
          <w:rFonts w:hint="eastAsia" w:ascii="方正仿宋_GBK" w:hAnsi="宋体" w:eastAsia="方正仿宋_GBK" w:cs="宋体"/>
          <w:bCs/>
          <w:color w:val="000000" w:themeColor="text1"/>
          <w:sz w:val="32"/>
          <w:szCs w:val="32"/>
          <w14:textFill>
            <w14:solidFill>
              <w14:schemeClr w14:val="tx1"/>
            </w14:solidFill>
          </w14:textFill>
        </w:rPr>
        <w:t>应建立重大隐患报送机制，</w:t>
      </w:r>
      <w:r>
        <w:rPr>
          <w:rFonts w:hint="eastAsia" w:ascii="方正仿宋_GBK" w:hAnsi="Arial" w:eastAsia="方正仿宋_GBK" w:cs="Arial"/>
          <w:color w:val="000000" w:themeColor="text1"/>
          <w:sz w:val="32"/>
          <w:szCs w:val="32"/>
          <w14:textFill>
            <w14:solidFill>
              <w14:schemeClr w14:val="tx1"/>
            </w14:solidFill>
          </w14:textFill>
        </w:rPr>
        <w:t>隐患排查服务中排查出的隐患</w:t>
      </w:r>
      <w:r>
        <w:rPr>
          <w:rFonts w:hint="eastAsia" w:ascii="方正仿宋_GBK" w:hAnsi="宋体" w:eastAsia="方正仿宋_GBK" w:cs="宋体"/>
          <w:bCs/>
          <w:color w:val="000000" w:themeColor="text1"/>
          <w:sz w:val="32"/>
          <w:szCs w:val="32"/>
          <w14:textFill>
            <w14:solidFill>
              <w14:schemeClr w14:val="tx1"/>
            </w14:solidFill>
          </w14:textFill>
        </w:rPr>
        <w:t>必须上传信息化平台，并将重大隐患数据实时对接到“省建筑施工安全管理系统”，确保施工企业和监督机构及时掌握，以便推进整改工作落实。</w:t>
      </w:r>
      <w:r>
        <w:rPr>
          <w:rFonts w:hint="eastAsia" w:ascii="方正仿宋_GBK" w:hAnsi="Arial" w:eastAsia="方正仿宋_GBK" w:cs="Arial"/>
          <w:color w:val="000000" w:themeColor="text1"/>
          <w:sz w:val="32"/>
          <w:szCs w:val="32"/>
          <w14:textFill>
            <w14:solidFill>
              <w14:schemeClr w14:val="tx1"/>
            </w14:solidFill>
          </w14:textFill>
        </w:rPr>
        <w:t>对重大隐患拒不整改的，保险机构可酌情上浮保险费率。</w:t>
      </w:r>
    </w:p>
    <w:p>
      <w:pPr>
        <w:pStyle w:val="7"/>
        <w:shd w:val="clear" w:color="auto" w:fill="FFFFFF"/>
        <w:spacing w:before="0" w:beforeAutospacing="0" w:after="0" w:afterAutospacing="0" w:line="580" w:lineRule="exact"/>
        <w:ind w:firstLine="636" w:firstLineChars="199"/>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第十五条（事故预防专项资金）</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应建立设区市“安全生产风险防控服务中心”（简称风控中心），将实收保费中不低于10%的部分作为事故预防服务专项资金，主要用于开展各类事故预防服务工作及服务运营工作。事故预防专项资金实行统筹安排、专款专用、据实列支，不得挪用、挤占、转存。</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Times New Roman" w:hAnsi="Times New Roman" w:eastAsia="方正仿宋_GBK" w:cs="方正仿宋_GBK"/>
          <w:bCs/>
          <w:color w:val="000000" w:themeColor="text1"/>
          <w:kern w:val="2"/>
          <w:sz w:val="32"/>
          <w:szCs w:val="32"/>
          <w14:textFill>
            <w14:solidFill>
              <w14:schemeClr w14:val="tx1"/>
            </w14:solidFill>
          </w14:textFill>
        </w:rPr>
        <w:t>为统筹全省建设工程风险防控服务工作，减少重复投资、多头开发，省级建设工程</w:t>
      </w:r>
      <w:r>
        <w:rPr>
          <w:rFonts w:hint="eastAsia" w:ascii="方正仿宋_GBK" w:hAnsi="Arial" w:eastAsia="方正仿宋_GBK" w:cs="Arial"/>
          <w:color w:val="000000" w:themeColor="text1"/>
          <w:sz w:val="32"/>
          <w:szCs w:val="32"/>
          <w14:textFill>
            <w14:solidFill>
              <w14:schemeClr w14:val="tx1"/>
            </w14:solidFill>
          </w14:textFill>
        </w:rPr>
        <w:t>安全生产风险防控服务中心将各设区市实收保费的0.5%作为事故预防服务专项费用，</w:t>
      </w:r>
      <w:r>
        <w:rPr>
          <w:rFonts w:hint="eastAsia" w:ascii="Times New Roman" w:hAnsi="Times New Roman" w:eastAsia="方正仿宋_GBK" w:cs="方正仿宋_GBK"/>
          <w:bCs/>
          <w:color w:val="000000" w:themeColor="text1"/>
          <w:sz w:val="32"/>
          <w:szCs w:val="32"/>
          <w14:textFill>
            <w14:solidFill>
              <w14:schemeClr w14:val="tx1"/>
            </w14:solidFill>
          </w14:textFill>
        </w:rPr>
        <w:t>专项用于全省统一的建设工程</w:t>
      </w:r>
      <w:r>
        <w:rPr>
          <w:rFonts w:hint="eastAsia" w:ascii="方正仿宋_GBK" w:hAnsi="仿宋" w:eastAsia="方正仿宋_GBK" w:cs="方正仿宋_GBK"/>
          <w:bCs/>
          <w:color w:val="000000" w:themeColor="text1"/>
          <w:sz w:val="32"/>
          <w:szCs w:val="32"/>
          <w14:textFill>
            <w14:solidFill>
              <w14:schemeClr w14:val="tx1"/>
            </w14:solidFill>
          </w14:textFill>
        </w:rPr>
        <w:t>安责险综合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w:t>
      </w:r>
      <w:r>
        <w:rPr>
          <w:rFonts w:hint="eastAsia" w:ascii="Times New Roman" w:hAnsi="Times New Roman" w:eastAsia="方正仿宋_GBK" w:cs="方正仿宋_GBK"/>
          <w:bCs/>
          <w:color w:val="000000" w:themeColor="text1"/>
          <w:sz w:val="32"/>
          <w:szCs w:val="32"/>
          <w14:textFill>
            <w14:solidFill>
              <w14:schemeClr w14:val="tx1"/>
            </w14:solidFill>
          </w14:textFill>
        </w:rPr>
        <w:t>、全省安全宣教资源平台、全省线上施工安全</w:t>
      </w:r>
      <w:r>
        <w:rPr>
          <w:rFonts w:hint="eastAsia" w:ascii="方正仿宋_GBK" w:hAnsi="Arial" w:eastAsia="方正仿宋_GBK" w:cs="Arial"/>
          <w:color w:val="000000" w:themeColor="text1"/>
          <w:sz w:val="32"/>
          <w:szCs w:val="32"/>
          <w14:textFill>
            <w14:solidFill>
              <w14:schemeClr w14:val="tx1"/>
            </w14:solidFill>
          </w14:textFill>
        </w:rPr>
        <w:t>专家资源平台、安全教育在线学习系统平台等建设，以及全省劳务人员安全行为数据采集分析应用、全省安全监管大数据分析应用、跨地区交流观摩、安全生产科技推广应用等。</w:t>
      </w:r>
    </w:p>
    <w:p>
      <w:pPr>
        <w:pStyle w:val="7"/>
        <w:shd w:val="clear" w:color="auto" w:fill="FFFFFF"/>
        <w:spacing w:before="0" w:beforeAutospacing="0" w:after="0" w:afterAutospacing="0" w:line="580" w:lineRule="exact"/>
        <w:ind w:firstLine="636" w:firstLineChars="199"/>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第十六条（保险理赔服务）</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投保单位发生事故后，保险机构应当积极协助抢险救灾和事故处理等相关工作，并按照保险合同约定及时核定损失、赔偿保险金。同一投保单位从业人员获取的保险赔偿应当实行同一标准。</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Times New Roman" w:eastAsia="方正仿宋_GBK" w:cs="方正仿宋_GBK"/>
          <w:bCs/>
          <w:color w:val="000000" w:themeColor="text1"/>
          <w:sz w:val="32"/>
          <w:szCs w:val="32"/>
          <w14:textFill>
            <w14:solidFill>
              <w14:schemeClr w14:val="tx1"/>
            </w14:solidFill>
          </w14:textFill>
        </w:rPr>
        <w:t>各设区市保险机构应建立“建设工程安责险投保理赔中心”，</w:t>
      </w:r>
      <w:r>
        <w:rPr>
          <w:rFonts w:hint="eastAsia" w:ascii="方正仿宋_GBK" w:hAnsi="Arial" w:eastAsia="方正仿宋_GBK" w:cs="Arial"/>
          <w:color w:val="000000" w:themeColor="text1"/>
          <w:sz w:val="32"/>
          <w:szCs w:val="32"/>
          <w14:textFill>
            <w14:solidFill>
              <w14:schemeClr w14:val="tx1"/>
            </w14:solidFill>
          </w14:textFill>
        </w:rPr>
        <w:t>建立快速理赔机制，对事故真实、责任明确的小额案件，简化理赔流程，按照法律规定或合同约定支付赔偿金。对于保险责任明确的安全事故，保险机构按照合同约定依投保单位的书面要求，自收到赔偿请求和有关证明（无需提供生产安全责任事故认定书）、资料之日起5个工作日内，支付赔款。保险机构对赔偿保险金额不能确定的，应当先行赔付根据已有证明和资料可以确定的保险责任。对较大、重大、特别重大安全事故，在责任明确的情况下，保险机构应就已确定损失先行赔付。</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在收到投保单位的赔偿保险金请求后，应及时做出是否属于保险责任的核定；情形复杂的应当在30日内做出核定，并将核定结果通知投保单位。属于保险责任的，保险机构应当自与投保单位达成赔偿协议之日起10日内履行赔偿义务。对不属于保险责任的，保险机构应当自做出核定之日起3日内向投保单位发出不予赔偿通知书，并说明理由。</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Times New Roman" w:eastAsia="方正仿宋_GBK" w:cs="方正仿宋_GBK"/>
          <w:bCs/>
          <w:color w:val="000000" w:themeColor="text1"/>
          <w:sz w:val="32"/>
          <w:szCs w:val="32"/>
          <w14:textFill>
            <w14:solidFill>
              <w14:schemeClr w14:val="tx1"/>
            </w14:solidFill>
          </w14:textFill>
        </w:rPr>
        <w:t>“建设工程安责险投保理赔中心”</w:t>
      </w:r>
      <w:r>
        <w:rPr>
          <w:rFonts w:hint="eastAsia" w:ascii="方正仿宋_GBK" w:hAnsi="Arial" w:eastAsia="方正仿宋_GBK" w:cs="Arial"/>
          <w:color w:val="000000" w:themeColor="text1"/>
          <w:sz w:val="32"/>
          <w:szCs w:val="32"/>
          <w14:textFill>
            <w14:solidFill>
              <w14:schemeClr w14:val="tx1"/>
            </w14:solidFill>
          </w14:textFill>
        </w:rPr>
        <w:t>应当设立专门的理赔服务团队和24小时保险服务专线电话。接到报案后，应按照规定前往现场协助抢险救灾和事故处理等工作。</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投保单位应当及时将赔偿保险金支付给受伤人员或死亡人员（以下统称受害人）的受益人，或者请求保险机构直接向受害人赔付。投保单位怠于请求的，受害人或该保险受益人有权就其应获得赔偿部分直接向保险机构请求赔偿。</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保险机构应实时将理赔信息以数据对接或录入方式纳入“</w:t>
      </w:r>
      <w:r>
        <w:rPr>
          <w:rFonts w:hint="eastAsia" w:ascii="Times New Roman" w:hAnsi="Times New Roman" w:eastAsia="方正仿宋_GBK" w:cs="方正仿宋_GBK"/>
          <w:bCs/>
          <w:color w:val="000000" w:themeColor="text1"/>
          <w:sz w:val="32"/>
          <w:szCs w:val="32"/>
          <w14:textFill>
            <w14:solidFill>
              <w14:schemeClr w14:val="tx1"/>
            </w14:solidFill>
          </w14:textFill>
        </w:rPr>
        <w:t>建设工程</w:t>
      </w:r>
      <w:r>
        <w:rPr>
          <w:rFonts w:hint="eastAsia" w:ascii="方正仿宋_GBK" w:hAnsi="仿宋" w:eastAsia="方正仿宋_GBK" w:cs="方正仿宋_GBK"/>
          <w:bCs/>
          <w:color w:val="000000" w:themeColor="text1"/>
          <w:sz w:val="32"/>
          <w:szCs w:val="32"/>
          <w14:textFill>
            <w14:solidFill>
              <w14:schemeClr w14:val="tx1"/>
            </w14:solidFill>
          </w14:textFill>
        </w:rPr>
        <w:t>安责险综合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w:t>
      </w:r>
      <w:r>
        <w:rPr>
          <w:rFonts w:hint="eastAsia" w:ascii="方正仿宋_GBK" w:hAnsi="Arial" w:eastAsia="方正仿宋_GBK" w:cs="Arial"/>
          <w:color w:val="000000" w:themeColor="text1"/>
          <w:sz w:val="32"/>
          <w:szCs w:val="32"/>
          <w14:textFill>
            <w14:solidFill>
              <w14:schemeClr w14:val="tx1"/>
            </w14:solidFill>
          </w14:textFill>
        </w:rPr>
        <w:t>”，便于监管部门掌握，理赔信息包括但不限于案件数量、已决赔款金额、未决金额、索赔资料等内容。</w:t>
      </w:r>
    </w:p>
    <w:p>
      <w:pPr>
        <w:pStyle w:val="7"/>
        <w:shd w:val="clear" w:color="auto" w:fill="FFFFFF"/>
        <w:spacing w:before="0" w:beforeAutospacing="0" w:after="0" w:afterAutospacing="0" w:line="580" w:lineRule="exact"/>
        <w:ind w:firstLine="636" w:firstLineChars="199"/>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第十七条（信息平台）</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Times New Roman" w:eastAsia="方正仿宋_GBK" w:cs="方正仿宋_GBK"/>
          <w:bCs/>
          <w:color w:val="000000" w:themeColor="text1"/>
          <w:kern w:val="2"/>
          <w:sz w:val="32"/>
          <w:szCs w:val="32"/>
          <w14:textFill>
            <w14:solidFill>
              <w14:schemeClr w14:val="tx1"/>
            </w14:solidFill>
          </w14:textFill>
        </w:rPr>
        <w:t>省级建设工程</w:t>
      </w:r>
      <w:r>
        <w:rPr>
          <w:rFonts w:hint="eastAsia" w:ascii="方正仿宋_GBK" w:hAnsi="Times New Roman" w:eastAsia="方正仿宋_GBK" w:cs="方正仿宋_GBK"/>
          <w:bCs/>
          <w:color w:val="000000" w:themeColor="text1"/>
          <w:sz w:val="32"/>
          <w:szCs w:val="32"/>
          <w14:textFill>
            <w14:solidFill>
              <w14:schemeClr w14:val="tx1"/>
            </w14:solidFill>
          </w14:textFill>
        </w:rPr>
        <w:t>安全生产风险防控服务中心</w:t>
      </w:r>
      <w:r>
        <w:rPr>
          <w:rFonts w:hint="eastAsia" w:ascii="方正仿宋_GBK" w:hAnsi="Arial" w:eastAsia="方正仿宋_GBK" w:cs="Arial"/>
          <w:color w:val="000000" w:themeColor="text1"/>
          <w:sz w:val="32"/>
          <w:szCs w:val="32"/>
          <w14:textFill>
            <w14:solidFill>
              <w14:schemeClr w14:val="tx1"/>
            </w14:solidFill>
          </w14:textFill>
        </w:rPr>
        <w:t>应在省住房城乡建设厅指导下，建立全省统一的“建设工程安责险</w:t>
      </w:r>
      <w:r>
        <w:rPr>
          <w:rFonts w:hint="eastAsia" w:ascii="方正仿宋_GBK" w:hAnsi="仿宋" w:eastAsia="方正仿宋_GBK" w:cs="方正仿宋_GBK"/>
          <w:bCs/>
          <w:color w:val="000000" w:themeColor="text1"/>
          <w:sz w:val="32"/>
          <w:szCs w:val="32"/>
          <w14:textFill>
            <w14:solidFill>
              <w14:schemeClr w14:val="tx1"/>
            </w14:solidFill>
          </w14:textFill>
        </w:rPr>
        <w:t>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服务信息平台”，供各地保险机构、投保单位、服务机构及专家、建设主管部门等使用</w:t>
      </w:r>
      <w:r>
        <w:rPr>
          <w:rFonts w:hint="eastAsia" w:ascii="方正仿宋_GBK" w:hAnsi="Arial" w:eastAsia="方正仿宋_GBK" w:cs="Arial"/>
          <w:color w:val="000000" w:themeColor="text1"/>
          <w:sz w:val="32"/>
          <w:szCs w:val="32"/>
          <w14:textFill>
            <w14:solidFill>
              <w14:schemeClr w14:val="tx1"/>
            </w14:solidFill>
          </w14:textFill>
        </w:rPr>
        <w:t>。已建立属地建设工程安责险</w:t>
      </w:r>
      <w:r>
        <w:rPr>
          <w:rFonts w:hint="eastAsia" w:ascii="方正仿宋_GBK" w:hAnsi="仿宋" w:eastAsia="方正仿宋_GBK" w:cs="方正仿宋_GBK"/>
          <w:bCs/>
          <w:color w:val="000000" w:themeColor="text1"/>
          <w:sz w:val="32"/>
          <w:szCs w:val="32"/>
          <w14:textFill>
            <w14:solidFill>
              <w14:schemeClr w14:val="tx1"/>
            </w14:solidFill>
          </w14:textFill>
        </w:rPr>
        <w:t>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服务信息平台的，应确保数据实时交换对接，并逐步完成系统深度融合。</w:t>
      </w:r>
      <w:r>
        <w:rPr>
          <w:rFonts w:hint="eastAsia" w:ascii="方正仿宋_GBK" w:hAnsi="Arial" w:eastAsia="方正仿宋_GBK" w:cs="Arial"/>
          <w:color w:val="000000" w:themeColor="text1"/>
          <w:sz w:val="32"/>
          <w:szCs w:val="32"/>
          <w14:textFill>
            <w14:solidFill>
              <w14:schemeClr w14:val="tx1"/>
            </w14:solidFill>
          </w14:textFill>
        </w:rPr>
        <w:t>各承保建设工程安责险的保险机构应保证自身业务系统与“建设工程安责险</w:t>
      </w:r>
      <w:r>
        <w:rPr>
          <w:rFonts w:hint="eastAsia" w:ascii="方正仿宋_GBK" w:hAnsi="仿宋" w:eastAsia="方正仿宋_GBK" w:cs="方正仿宋_GBK"/>
          <w:bCs/>
          <w:color w:val="000000" w:themeColor="text1"/>
          <w:sz w:val="32"/>
          <w:szCs w:val="32"/>
          <w14:textFill>
            <w14:solidFill>
              <w14:schemeClr w14:val="tx1"/>
            </w14:solidFill>
          </w14:textFill>
        </w:rPr>
        <w:t>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w:t>
      </w:r>
      <w:r>
        <w:rPr>
          <w:rFonts w:hint="eastAsia" w:ascii="方正仿宋_GBK" w:hAnsi="Arial" w:eastAsia="方正仿宋_GBK" w:cs="Arial"/>
          <w:color w:val="000000" w:themeColor="text1"/>
          <w:sz w:val="32"/>
          <w:szCs w:val="32"/>
          <w14:textFill>
            <w14:solidFill>
              <w14:schemeClr w14:val="tx1"/>
            </w14:solidFill>
          </w14:textFill>
        </w:rPr>
        <w:t>之间的数据交换。</w:t>
      </w:r>
    </w:p>
    <w:p>
      <w:pPr>
        <w:spacing w:line="580" w:lineRule="exact"/>
        <w:ind w:firstLine="645"/>
        <w:rPr>
          <w:rFonts w:ascii="仿宋" w:hAnsi="仿宋" w:eastAsia="仿宋"/>
          <w:color w:val="000000" w:themeColor="text1"/>
          <w:sz w:val="32"/>
          <w:szCs w:val="32"/>
          <w14:textFill>
            <w14:solidFill>
              <w14:schemeClr w14:val="tx1"/>
            </w14:solidFill>
          </w14:textFill>
        </w:rPr>
      </w:pPr>
      <w:r>
        <w:rPr>
          <w:rFonts w:hint="eastAsia" w:ascii="方正仿宋_GBK" w:hAnsi="仿宋" w:eastAsia="方正仿宋_GBK" w:cs="___WRD_EMBED_SUB_46"/>
          <w:bCs/>
          <w:color w:val="000000" w:themeColor="text1"/>
          <w:sz w:val="32"/>
          <w:szCs w:val="32"/>
          <w14:textFill>
            <w14:solidFill>
              <w14:schemeClr w14:val="tx1"/>
            </w14:solidFill>
          </w14:textFill>
        </w:rPr>
        <w:t>“江苏省建筑施工安全管理系统”实时推送工程项目信息至</w:t>
      </w:r>
      <w:r>
        <w:rPr>
          <w:rFonts w:hint="eastAsia" w:ascii="方正仿宋_GBK" w:hAnsi="Arial" w:eastAsia="方正仿宋_GBK" w:cs="Arial"/>
          <w:color w:val="000000" w:themeColor="text1"/>
          <w:sz w:val="32"/>
          <w:szCs w:val="32"/>
          <w14:textFill>
            <w14:solidFill>
              <w14:schemeClr w14:val="tx1"/>
            </w14:solidFill>
          </w14:textFill>
        </w:rPr>
        <w:t>“建设工程安责险</w:t>
      </w:r>
      <w:r>
        <w:rPr>
          <w:rFonts w:hint="eastAsia" w:ascii="方正仿宋_GBK" w:hAnsi="仿宋" w:eastAsia="方正仿宋_GBK" w:cs="方正仿宋_GBK"/>
          <w:bCs/>
          <w:color w:val="000000" w:themeColor="text1"/>
          <w:sz w:val="32"/>
          <w:szCs w:val="32"/>
          <w14:textFill>
            <w14:solidFill>
              <w14:schemeClr w14:val="tx1"/>
            </w14:solidFill>
          </w14:textFill>
        </w:rPr>
        <w:t>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服务信息平台”自动比对参保情况。对未参保项目，由</w:t>
      </w:r>
      <w:r>
        <w:rPr>
          <w:rFonts w:hint="eastAsia" w:ascii="方正仿宋_GBK" w:hAnsi="Arial" w:eastAsia="方正仿宋_GBK" w:cs="Arial"/>
          <w:color w:val="000000" w:themeColor="text1"/>
          <w:sz w:val="32"/>
          <w:szCs w:val="32"/>
          <w14:textFill>
            <w14:solidFill>
              <w14:schemeClr w14:val="tx1"/>
            </w14:solidFill>
          </w14:textFill>
        </w:rPr>
        <w:t>“建设工程安责险</w:t>
      </w:r>
      <w:r>
        <w:rPr>
          <w:rFonts w:hint="eastAsia" w:ascii="方正仿宋_GBK" w:hAnsi="仿宋" w:eastAsia="方正仿宋_GBK" w:cs="方正仿宋_GBK"/>
          <w:bCs/>
          <w:color w:val="000000" w:themeColor="text1"/>
          <w:sz w:val="32"/>
          <w:szCs w:val="32"/>
          <w14:textFill>
            <w14:solidFill>
              <w14:schemeClr w14:val="tx1"/>
            </w14:solidFill>
          </w14:textFill>
        </w:rPr>
        <w:t>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服务信息平台”推送尽快办理安责险提示信息至项目负责人。对进入监督程序后一定时期内仍未投保</w:t>
      </w:r>
      <w:r>
        <w:rPr>
          <w:rFonts w:hint="eastAsia" w:ascii="方正仿宋_GBK" w:hAnsi="仿宋" w:eastAsia="方正仿宋_GBK" w:cs="方正仿宋_GBK"/>
          <w:bCs/>
          <w:color w:val="000000" w:themeColor="text1"/>
          <w:sz w:val="32"/>
          <w:szCs w:val="32"/>
          <w14:textFill>
            <w14:solidFill>
              <w14:schemeClr w14:val="tx1"/>
            </w14:solidFill>
          </w14:textFill>
        </w:rPr>
        <w:t>安责险的项目，由</w:t>
      </w:r>
      <w:r>
        <w:rPr>
          <w:rFonts w:hint="eastAsia" w:ascii="方正仿宋_GBK" w:hAnsi="Arial" w:eastAsia="方正仿宋_GBK" w:cs="Arial"/>
          <w:color w:val="000000" w:themeColor="text1"/>
          <w:sz w:val="32"/>
          <w:szCs w:val="32"/>
          <w14:textFill>
            <w14:solidFill>
              <w14:schemeClr w14:val="tx1"/>
            </w14:solidFill>
          </w14:textFill>
        </w:rPr>
        <w:t>“建设工程安责险</w:t>
      </w:r>
      <w:r>
        <w:rPr>
          <w:rFonts w:hint="eastAsia" w:ascii="方正仿宋_GBK" w:hAnsi="仿宋" w:eastAsia="方正仿宋_GBK" w:cs="方正仿宋_GBK"/>
          <w:bCs/>
          <w:color w:val="000000" w:themeColor="text1"/>
          <w:sz w:val="32"/>
          <w:szCs w:val="32"/>
          <w14:textFill>
            <w14:solidFill>
              <w14:schemeClr w14:val="tx1"/>
            </w14:solidFill>
          </w14:textFill>
        </w:rPr>
        <w:t>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服务信息平台”对接至“江苏省建筑施工安全管理系统”</w:t>
      </w:r>
      <w:r>
        <w:rPr>
          <w:rFonts w:hint="eastAsia" w:ascii="方正仿宋_GBK" w:hAnsi="仿宋" w:eastAsia="方正仿宋_GBK" w:cs="方正仿宋_GBK"/>
          <w:bCs/>
          <w:color w:val="000000" w:themeColor="text1"/>
          <w:sz w:val="32"/>
          <w:szCs w:val="32"/>
          <w14:textFill>
            <w14:solidFill>
              <w14:schemeClr w14:val="tx1"/>
            </w14:solidFill>
          </w14:textFill>
        </w:rPr>
        <w:t>，推送属地建设工程安全监督机构督促整改。</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“建设工程安责险</w:t>
      </w:r>
      <w:r>
        <w:rPr>
          <w:rFonts w:hint="eastAsia" w:ascii="方正仿宋_GBK" w:hAnsi="仿宋" w:eastAsia="方正仿宋_GBK" w:cs="方正仿宋_GBK"/>
          <w:bCs/>
          <w:color w:val="000000" w:themeColor="text1"/>
          <w:sz w:val="32"/>
          <w:szCs w:val="32"/>
          <w14:textFill>
            <w14:solidFill>
              <w14:schemeClr w14:val="tx1"/>
            </w14:solidFill>
          </w14:textFill>
        </w:rPr>
        <w:t>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w:t>
      </w:r>
      <w:r>
        <w:rPr>
          <w:rFonts w:hint="eastAsia" w:ascii="方正仿宋_GBK" w:hAnsi="Arial" w:eastAsia="方正仿宋_GBK" w:cs="Arial"/>
          <w:color w:val="000000" w:themeColor="text1"/>
          <w:sz w:val="32"/>
          <w:szCs w:val="32"/>
          <w14:textFill>
            <w14:solidFill>
              <w14:schemeClr w14:val="tx1"/>
            </w14:solidFill>
          </w14:textFill>
        </w:rPr>
        <w:t>应具备完善的信息安全、数据权限管理体系，</w:t>
      </w:r>
      <w:r>
        <w:rPr>
          <w:rFonts w:hint="eastAsia" w:ascii="方正仿宋_GBK" w:hAnsi="仿宋" w:eastAsia="方正仿宋_GBK" w:cs="___WRD_EMBED_SUB_46"/>
          <w:bCs/>
          <w:color w:val="000000" w:themeColor="text1"/>
          <w:sz w:val="32"/>
          <w:szCs w:val="32"/>
          <w14:textFill>
            <w14:solidFill>
              <w14:schemeClr w14:val="tx1"/>
            </w14:solidFill>
          </w14:textFill>
        </w:rPr>
        <w:t>落实江苏省建设工程安责险全生命周期的数字化管理职能，按照网格化体系为省、设区市各承保机构、投保单位、建设主管部门提供独立业务端口，落实《全国安全生产专项整治三年行动计划》中关于“2022年底前对所有承保安责险的保险机构开展预防技术服务情况实现在线监测”的相关要求，对承保、理赔、事故预防服务过程及结果、风险、隐患数据提供整合展示、汇总报表、统计分析等功能，并与应急部门“安全生产责任保险信息系统”对接。</w:t>
      </w:r>
      <w:r>
        <w:rPr>
          <w:rFonts w:hint="eastAsia" w:ascii="方正仿宋_GBK" w:hAnsi="Arial" w:eastAsia="方正仿宋_GBK" w:cs="Arial"/>
          <w:color w:val="000000" w:themeColor="text1"/>
          <w:sz w:val="32"/>
          <w:szCs w:val="32"/>
          <w14:textFill>
            <w14:solidFill>
              <w14:schemeClr w14:val="tx1"/>
            </w14:solidFill>
          </w14:textFill>
        </w:rPr>
        <w:t>省住房城乡建设厅和各设区市住房城乡建设局及其他管理部门按照职责分工，对该信息平台相应业务进行监管。</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480"/>
        <w:jc w:val="center"/>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第四章服务评估和改进</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Arial" w:hAnsi="Arial" w:eastAsia="方正仿宋_GBK" w:cs="Arial"/>
          <w:color w:val="000000" w:themeColor="text1"/>
          <w:sz w:val="32"/>
          <w:szCs w:val="32"/>
          <w14:textFill>
            <w14:solidFill>
              <w14:schemeClr w14:val="tx1"/>
            </w14:solidFill>
          </w14:textFill>
        </w:rPr>
        <w:t> </w:t>
      </w:r>
    </w:p>
    <w:p>
      <w:pPr>
        <w:pStyle w:val="7"/>
        <w:shd w:val="clear" w:color="auto" w:fill="FFFFFF"/>
        <w:spacing w:before="0" w:beforeAutospacing="0" w:after="0" w:afterAutospacing="0" w:line="580" w:lineRule="exact"/>
        <w:ind w:firstLine="636" w:firstLineChars="199"/>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第十八条（服务评估和改进）</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保险机构应按年度对事故预防技术服务的质量和效果进行自评或经主管部门认可的第三方评估，并形成书面报告。内容包括不限于事故预防费用使用情况、服务方案的实施情况、服务效果、投保单位的满意情况、服务机构及服务人员的专业能力、投诉处理情况及理赔服务处理情况。保险机构应当向本地建设主管部门及相关管理部门上报年度评估报告，通过官方网站和公共媒体向社会公布年度评估结果，接受政府相关部门和社会的监督。并针对年度评估、投保单位投诉、政府相关部门监督检查中发现的问题，制定并落实改进措施，完善管理制度和服务方案。</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相关监管部门每年应对承担本市建设工程安责险的保险机构共保体单位进行考核。考核内容包括承保服务、理赔服务、事故预防、应急救援、运营管理等方面。对于考核不达标，可责令退出承保服务，并通过公众网站等形式进行社会公示。保险机构共保体单位的日常监管和考核情况纳入下一轮招投标条件考虑范围，具体监管考核办法另行制定。</w:t>
      </w:r>
    </w:p>
    <w:p>
      <w:pPr>
        <w:autoSpaceDE w:val="0"/>
        <w:autoSpaceDN w:val="0"/>
        <w:adjustRightInd w:val="0"/>
        <w:spacing w:line="580" w:lineRule="exact"/>
        <w:ind w:firstLine="640" w:firstLineChars="200"/>
        <w:rPr>
          <w:rFonts w:ascii="方正仿宋_GBK" w:hAnsi="Arial" w:eastAsia="方正仿宋_GBK" w:cs="Arial"/>
          <w:color w:val="000000" w:themeColor="text1"/>
          <w:kern w:val="0"/>
          <w:sz w:val="32"/>
          <w:szCs w:val="32"/>
          <w14:textFill>
            <w14:solidFill>
              <w14:schemeClr w14:val="tx1"/>
            </w14:solidFill>
          </w14:textFill>
        </w:rPr>
      </w:pPr>
      <w:r>
        <w:rPr>
          <w:rFonts w:hint="eastAsia" w:ascii="方正仿宋_GBK" w:hAnsi="Arial" w:eastAsia="方正仿宋_GBK" w:cs="Arial"/>
          <w:color w:val="000000" w:themeColor="text1"/>
          <w:kern w:val="0"/>
          <w:sz w:val="32"/>
          <w:szCs w:val="32"/>
          <w14:textFill>
            <w14:solidFill>
              <w14:schemeClr w14:val="tx1"/>
            </w14:solidFill>
          </w14:textFill>
        </w:rPr>
        <w:t>保险监管部门和建设主管部门应公开投诉举报电话，接受办理有关建设工程安责险的投诉举报，对保险机构、相关单位等及其工作人员在安全生产责任保险实施中存在的违法违规行为，依法依规严肃追责，涉嫌犯罪的移交司法机关依法处理</w:t>
      </w:r>
      <w:r>
        <w:rPr>
          <w:rFonts w:hint="eastAsia" w:ascii="方正仿宋_GBK" w:eastAsia="方正仿宋_GBK" w:cs="FZFSK--GBK1-0"/>
          <w:color w:val="000000" w:themeColor="text1"/>
          <w:kern w:val="0"/>
          <w:sz w:val="32"/>
          <w:szCs w:val="32"/>
          <w14:textFill>
            <w14:solidFill>
              <w14:schemeClr w14:val="tx1"/>
            </w14:solidFill>
          </w14:textFill>
        </w:rPr>
        <w:t>。</w:t>
      </w:r>
    </w:p>
    <w:p>
      <w:pPr>
        <w:pStyle w:val="7"/>
        <w:shd w:val="clear" w:color="auto" w:fill="FFFFFF"/>
        <w:spacing w:before="0" w:beforeAutospacing="0" w:after="0" w:afterAutospacing="0" w:line="580" w:lineRule="exact"/>
        <w:ind w:firstLine="48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Arial" w:hAnsi="Arial" w:eastAsia="方正仿宋_GBK" w:cs="Arial"/>
          <w:color w:val="000000" w:themeColor="text1"/>
          <w:sz w:val="32"/>
          <w:szCs w:val="32"/>
          <w14:textFill>
            <w14:solidFill>
              <w14:schemeClr w14:val="tx1"/>
            </w14:solidFill>
          </w14:textFill>
        </w:rPr>
        <w:t> </w:t>
      </w:r>
    </w:p>
    <w:p>
      <w:pPr>
        <w:pStyle w:val="7"/>
        <w:shd w:val="clear" w:color="auto" w:fill="FFFFFF"/>
        <w:spacing w:before="0" w:beforeAutospacing="0" w:after="0" w:afterAutospacing="0" w:line="580" w:lineRule="exact"/>
        <w:ind w:firstLine="480"/>
        <w:jc w:val="center"/>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第五章附则</w:t>
      </w:r>
    </w:p>
    <w:p>
      <w:pPr>
        <w:pStyle w:val="7"/>
        <w:shd w:val="clear" w:color="auto" w:fill="FFFFFF"/>
        <w:spacing w:before="0" w:beforeAutospacing="0" w:after="0" w:afterAutospacing="0" w:line="580" w:lineRule="exact"/>
        <w:ind w:firstLine="480"/>
        <w:textAlignment w:val="baseline"/>
        <w:rPr>
          <w:rFonts w:ascii="Arial" w:hAnsi="Arial" w:eastAsia="方正仿宋_GBK" w:cs="Arial"/>
          <w:color w:val="000000" w:themeColor="text1"/>
          <w:sz w:val="32"/>
          <w:szCs w:val="32"/>
          <w14:textFill>
            <w14:solidFill>
              <w14:schemeClr w14:val="tx1"/>
            </w14:solidFill>
          </w14:textFill>
        </w:rPr>
      </w:pPr>
      <w:r>
        <w:rPr>
          <w:rFonts w:hint="eastAsia" w:ascii="Arial" w:hAnsi="Arial" w:eastAsia="方正仿宋_GBK" w:cs="Arial"/>
          <w:color w:val="000000" w:themeColor="text1"/>
          <w:sz w:val="32"/>
          <w:szCs w:val="32"/>
          <w14:textFill>
            <w14:solidFill>
              <w14:schemeClr w14:val="tx1"/>
            </w14:solidFill>
          </w14:textFill>
        </w:rPr>
        <w:t> </w:t>
      </w:r>
    </w:p>
    <w:p>
      <w:pPr>
        <w:autoSpaceDE w:val="0"/>
        <w:autoSpaceDN w:val="0"/>
        <w:adjustRightInd w:val="0"/>
        <w:spacing w:line="580" w:lineRule="exact"/>
        <w:ind w:firstLine="640" w:firstLineChars="200"/>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第十九条（工作要求）</w:t>
      </w:r>
    </w:p>
    <w:p>
      <w:pPr>
        <w:pStyle w:val="9"/>
        <w:wordWrap/>
        <w:spacing w:line="580" w:lineRule="exact"/>
        <w:rPr>
          <w:rFonts w:ascii="方正仿宋_GBK" w:hAnsi="仿宋" w:eastAsia="方正仿宋_GBK" w:cs="___WRD_EMBED_SUB_46"/>
          <w:bCs/>
          <w:color w:val="000000" w:themeColor="text1"/>
          <w:sz w:val="32"/>
          <w:szCs w:val="32"/>
          <w14:textFill>
            <w14:solidFill>
              <w14:schemeClr w14:val="tx1"/>
            </w14:solidFill>
          </w14:textFill>
        </w:rPr>
      </w:pPr>
      <w:r>
        <w:rPr>
          <w:rFonts w:ascii="方正仿宋_GBK" w:hAnsi="Times New Roman" w:eastAsia="方正仿宋_GBK" w:cs="方正仿宋_GBK"/>
          <w:bCs/>
          <w:color w:val="000000" w:themeColor="text1"/>
          <w:sz w:val="32"/>
          <w:szCs w:val="32"/>
          <w14:textFill>
            <w14:solidFill>
              <w14:schemeClr w14:val="tx1"/>
            </w14:solidFill>
          </w14:textFill>
        </w:rPr>
        <w:t>2021</w:t>
      </w:r>
      <w:r>
        <w:rPr>
          <w:rFonts w:hint="eastAsia" w:ascii="方正仿宋_GBK" w:hAnsi="Times New Roman" w:eastAsia="方正仿宋_GBK" w:cs="方正仿宋_GBK"/>
          <w:bCs/>
          <w:color w:val="000000" w:themeColor="text1"/>
          <w:sz w:val="32"/>
          <w:szCs w:val="32"/>
          <w14:textFill>
            <w14:solidFill>
              <w14:schemeClr w14:val="tx1"/>
            </w14:solidFill>
          </w14:textFill>
        </w:rPr>
        <w:t>年9月</w:t>
      </w:r>
      <w:r>
        <w:rPr>
          <w:rFonts w:ascii="方正仿宋_GBK" w:hAnsi="Times New Roman" w:eastAsia="方正仿宋_GBK" w:cs="方正仿宋_GBK"/>
          <w:bCs/>
          <w:color w:val="000000" w:themeColor="text1"/>
          <w:sz w:val="32"/>
          <w:szCs w:val="32"/>
          <w14:textFill>
            <w14:solidFill>
              <w14:schemeClr w14:val="tx1"/>
            </w14:solidFill>
          </w14:textFill>
        </w:rPr>
        <w:t>1</w:t>
      </w:r>
      <w:r>
        <w:rPr>
          <w:rFonts w:hint="eastAsia" w:ascii="方正仿宋_GBK" w:hAnsi="Times New Roman" w:eastAsia="方正仿宋_GBK" w:cs="方正仿宋_GBK"/>
          <w:bCs/>
          <w:color w:val="000000" w:themeColor="text1"/>
          <w:sz w:val="32"/>
          <w:szCs w:val="32"/>
          <w14:textFill>
            <w14:solidFill>
              <w14:schemeClr w14:val="tx1"/>
            </w14:solidFill>
          </w14:textFill>
        </w:rPr>
        <w:t>日起，全省全面推行建设工程安责险， 10月1日后，“江苏省</w:t>
      </w:r>
      <w:r>
        <w:rPr>
          <w:rFonts w:hint="eastAsia" w:ascii="方正仿宋_GBK" w:hAnsi="Arial" w:eastAsia="方正仿宋_GBK" w:cs="Arial"/>
          <w:color w:val="000000" w:themeColor="text1"/>
          <w:sz w:val="32"/>
          <w:szCs w:val="32"/>
          <w14:textFill>
            <w14:solidFill>
              <w14:schemeClr w14:val="tx1"/>
            </w14:solidFill>
          </w14:textFill>
        </w:rPr>
        <w:t>建设工程安责险</w:t>
      </w:r>
      <w:r>
        <w:rPr>
          <w:rFonts w:hint="eastAsia" w:ascii="方正仿宋_GBK" w:hAnsi="仿宋" w:eastAsia="方正仿宋_GBK" w:cs="方正仿宋_GBK"/>
          <w:bCs/>
          <w:color w:val="000000" w:themeColor="text1"/>
          <w:sz w:val="32"/>
          <w:szCs w:val="32"/>
          <w14:textFill>
            <w14:solidFill>
              <w14:schemeClr w14:val="tx1"/>
            </w14:solidFill>
          </w14:textFill>
        </w:rPr>
        <w:t>综合</w:t>
      </w:r>
      <w:r>
        <w:rPr>
          <w:rFonts w:hint="eastAsia" w:ascii="方正仿宋_GBK" w:hAnsi="仿宋" w:eastAsia="方正仿宋_GBK" w:cs="___WRD_EMBED_SUB_46"/>
          <w:bCs/>
          <w:color w:val="000000" w:themeColor="text1"/>
          <w:sz w:val="32"/>
          <w:szCs w:val="32"/>
          <w14:textFill>
            <w14:solidFill>
              <w14:schemeClr w14:val="tx1"/>
            </w14:solidFill>
          </w14:textFill>
        </w:rPr>
        <w:t>服务信息平台”正式启用。</w:t>
      </w:r>
      <w:r>
        <w:rPr>
          <w:rFonts w:hint="eastAsia" w:ascii="方正仿宋_GBK" w:hAnsi="Arial" w:eastAsia="方正仿宋_GBK" w:cs="Arial"/>
          <w:color w:val="000000" w:themeColor="text1"/>
          <w:sz w:val="32"/>
          <w:szCs w:val="32"/>
          <w14:textFill>
            <w14:solidFill>
              <w14:schemeClr w14:val="tx1"/>
            </w14:solidFill>
          </w14:textFill>
        </w:rPr>
        <w:t>各设区市建设主</w:t>
      </w:r>
      <w:r>
        <w:rPr>
          <w:rFonts w:hint="eastAsia" w:ascii="方正仿宋_GBK" w:hAnsi="Arial" w:eastAsia="方正仿宋_GBK" w:cs="Arial"/>
          <w:color w:val="000000" w:themeColor="text1"/>
          <w:kern w:val="0"/>
          <w:sz w:val="32"/>
          <w:szCs w:val="32"/>
          <w14:textFill>
            <w14:solidFill>
              <w14:schemeClr w14:val="tx1"/>
            </w14:solidFill>
          </w14:textFill>
        </w:rPr>
        <w:t>管部门要根据本实施意见，制定实施细则，加强对本地区建设工程安责险工作的组织领导，结合本地实际，明确部门责任分工，加强对事故预防技术服务的指导和监督，有效遏制各类建筑施工生产安全事故，将建设工程安责险投保覆盖率纳入安全生产考核内容。</w:t>
      </w:r>
    </w:p>
    <w:p>
      <w:pPr>
        <w:widowControl/>
        <w:jc w:val="left"/>
        <w:rPr>
          <w:rFonts w:ascii="Arial" w:hAnsi="Arial" w:eastAsia="方正仿宋_GBK" w:cs="Arial"/>
          <w:color w:val="000000" w:themeColor="text1"/>
          <w:kern w:val="0"/>
          <w:sz w:val="32"/>
          <w:szCs w:val="32"/>
          <w14:textFill>
            <w14:solidFill>
              <w14:schemeClr w14:val="tx1"/>
            </w14:solidFill>
          </w14:textFill>
        </w:rPr>
      </w:pPr>
      <w:r>
        <w:rPr>
          <w:rFonts w:ascii="Arial" w:hAnsi="Arial" w:eastAsia="方正仿宋_GBK" w:cs="Arial"/>
          <w:color w:val="000000" w:themeColor="text1"/>
          <w:sz w:val="32"/>
          <w:szCs w:val="32"/>
          <w14:textFill>
            <w14:solidFill>
              <w14:schemeClr w14:val="tx1"/>
            </w14:solidFill>
          </w14:textFill>
        </w:rPr>
        <w:br w:type="page"/>
      </w:r>
    </w:p>
    <w:p>
      <w:pPr>
        <w:pStyle w:val="7"/>
        <w:shd w:val="clear" w:color="auto" w:fill="FFFFFF"/>
        <w:spacing w:before="0" w:beforeAutospacing="0" w:after="0" w:afterAutospacing="0" w:line="580" w:lineRule="exact"/>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附件1：</w:t>
      </w:r>
    </w:p>
    <w:p>
      <w:pPr>
        <w:pStyle w:val="7"/>
        <w:shd w:val="clear" w:color="auto" w:fill="FFFFFF"/>
        <w:spacing w:before="0" w:beforeAutospacing="0" w:after="0" w:afterAutospacing="0" w:line="580" w:lineRule="exact"/>
        <w:ind w:firstLine="480"/>
        <w:jc w:val="center"/>
        <w:textAlignment w:val="baseline"/>
        <w:rPr>
          <w:rFonts w:ascii="方正小标宋_GBK" w:hAnsi="Arial" w:eastAsia="方正小标宋_GBK" w:cs="Arial"/>
          <w:color w:val="000000" w:themeColor="text1"/>
          <w:sz w:val="36"/>
          <w:szCs w:val="36"/>
          <w14:textFill>
            <w14:solidFill>
              <w14:schemeClr w14:val="tx1"/>
            </w14:solidFill>
          </w14:textFill>
        </w:rPr>
      </w:pPr>
      <w:r>
        <w:rPr>
          <w:rFonts w:hint="eastAsia" w:ascii="方正小标宋_GBK" w:hAnsi="Arial" w:eastAsia="方正小标宋_GBK" w:cs="Arial"/>
          <w:color w:val="000000" w:themeColor="text1"/>
          <w:sz w:val="36"/>
          <w:szCs w:val="36"/>
          <w14:textFill>
            <w14:solidFill>
              <w14:schemeClr w14:val="tx1"/>
            </w14:solidFill>
          </w14:textFill>
        </w:rPr>
        <w:t>附录</w:t>
      </w:r>
    </w:p>
    <w:p>
      <w:pPr>
        <w:pStyle w:val="7"/>
        <w:shd w:val="clear" w:color="auto" w:fill="FFFFFF"/>
        <w:spacing w:before="0" w:beforeAutospacing="0" w:after="0" w:afterAutospacing="0" w:line="580" w:lineRule="exact"/>
        <w:ind w:firstLine="640" w:firstLineChars="200"/>
        <w:textAlignment w:val="baseline"/>
        <w:rPr>
          <w:rFonts w:ascii="方正黑体_GBK" w:hAnsi="Arial" w:eastAsia="方正黑体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640" w:firstLineChars="200"/>
        <w:textAlignment w:val="baseline"/>
        <w:rPr>
          <w:rFonts w:ascii="方正黑体_GBK" w:hAnsi="Arial" w:eastAsia="方正黑体_GBK" w:cs="Arial"/>
          <w:color w:val="000000" w:themeColor="text1"/>
          <w:sz w:val="32"/>
          <w:szCs w:val="32"/>
          <w14:textFill>
            <w14:solidFill>
              <w14:schemeClr w14:val="tx1"/>
            </w14:solidFill>
          </w14:textFill>
        </w:rPr>
      </w:pPr>
      <w:r>
        <w:rPr>
          <w:rFonts w:hint="eastAsia" w:ascii="方正黑体_GBK" w:hAnsi="Arial" w:eastAsia="方正黑体_GBK" w:cs="Arial"/>
          <w:color w:val="000000" w:themeColor="text1"/>
          <w:sz w:val="32"/>
          <w:szCs w:val="32"/>
          <w14:textFill>
            <w14:solidFill>
              <w14:schemeClr w14:val="tx1"/>
            </w14:solidFill>
          </w14:textFill>
        </w:rPr>
        <w:t>【名词释义】</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1.投保单位：是指与保险机构共保体订立建设工程安责险合同并支付保险费用，享有获得赔偿和接受事故预防技术服务权利的施工单位。</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2.生产安全事故：指符合《生产安全事故报告和调查处理条例》（国务院令第493 号）规定的、在生产经营活动中发生的造成人身伤亡或者直接经济损失的意外事故。</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hint="eastAsia" w:ascii="方正仿宋_GBK" w:hAnsi="Arial" w:eastAsia="方正仿宋_GBK" w:cs="Arial"/>
          <w:color w:val="000000" w:themeColor="text1"/>
          <w:sz w:val="32"/>
          <w:szCs w:val="32"/>
          <w14:textFill>
            <w14:solidFill>
              <w14:schemeClr w14:val="tx1"/>
            </w14:solidFill>
          </w14:textFill>
        </w:rPr>
        <w:t>3.事故预防技术服务：是指保险机构共保体为防止或减少投保单位发生生产安全事故、降低赔付风险，通过一定的技术措施、协助投保单位开展事故预防工作的服务行为。</w:t>
      </w:r>
    </w:p>
    <w:p>
      <w:pPr>
        <w:autoSpaceDE w:val="0"/>
        <w:autoSpaceDN w:val="0"/>
        <w:adjustRightInd w:val="0"/>
        <w:spacing w:line="580" w:lineRule="exact"/>
        <w:ind w:firstLine="640" w:firstLineChars="200"/>
      </w:pPr>
      <w:r>
        <w:rPr>
          <w:rFonts w:hint="eastAsia" w:ascii="方正仿宋_GBK" w:hAnsi="Arial" w:eastAsia="方正仿宋_GBK" w:cs="Arial"/>
          <w:color w:val="000000" w:themeColor="text1"/>
          <w:sz w:val="32"/>
          <w:szCs w:val="32"/>
          <w14:textFill>
            <w14:solidFill>
              <w14:schemeClr w14:val="tx1"/>
            </w14:solidFill>
          </w14:textFill>
        </w:rPr>
        <w:t>4.从业人员：</w:t>
      </w:r>
      <w:r>
        <w:rPr>
          <w:rFonts w:hint="eastAsia" w:ascii="Times New Roman" w:hAnsi="Times New Roman" w:eastAsia="方正仿宋_GBK" w:cs="方正仿宋_GBK"/>
          <w:bCs/>
          <w:color w:val="000000" w:themeColor="text1"/>
          <w:sz w:val="32"/>
          <w:szCs w:val="32"/>
          <w14:textFill>
            <w14:solidFill>
              <w14:schemeClr w14:val="tx1"/>
            </w14:solidFill>
          </w14:textFill>
        </w:rPr>
        <w:t>指与投保单位签订劳动合同或存在劳动关系（包括事实劳动关系）的各种用工形式、各种用工期限，接受投保单位给付的劳动报酬，且符合国家劳动法规定的合法劳动者，也包括退休返聘的人员、劳务派遣人员、兼职人员、短期工、临时工、季节工、徒工、实习生以及与投保单位签订劳动合同或存在劳动关系（包括事实劳动关系）的企业管理人员。</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ascii="方正仿宋_GBK" w:hAnsi="Arial" w:eastAsia="方正仿宋_GBK" w:cs="Arial"/>
          <w:color w:val="000000" w:themeColor="text1"/>
          <w:sz w:val="32"/>
          <w:szCs w:val="32"/>
          <w14:textFill>
            <w14:solidFill>
              <w14:schemeClr w14:val="tx1"/>
            </w14:solidFill>
          </w14:textFill>
        </w:rPr>
        <w:t>5</w:t>
      </w:r>
      <w:r>
        <w:rPr>
          <w:rFonts w:hint="eastAsia" w:ascii="方正仿宋_GBK" w:hAnsi="Arial" w:eastAsia="方正仿宋_GBK" w:cs="Arial"/>
          <w:color w:val="000000" w:themeColor="text1"/>
          <w:sz w:val="32"/>
          <w:szCs w:val="32"/>
          <w14:textFill>
            <w14:solidFill>
              <w14:schemeClr w14:val="tx1"/>
            </w14:solidFill>
          </w14:textFill>
        </w:rPr>
        <w:t>.第三者：指除投保单位及其从业人员以外的，与生产安全事故直接相关其他组织或个人。</w:t>
      </w:r>
    </w:p>
    <w:p>
      <w:pPr>
        <w:pStyle w:val="7"/>
        <w:shd w:val="clear" w:color="auto" w:fill="FFFFFF"/>
        <w:spacing w:before="0" w:beforeAutospacing="0" w:after="0" w:afterAutospacing="0" w:line="580" w:lineRule="exact"/>
        <w:ind w:firstLine="640" w:firstLineChars="200"/>
        <w:jc w:val="both"/>
        <w:textAlignment w:val="baseline"/>
        <w:rPr>
          <w:rFonts w:ascii="方正仿宋_GBK" w:hAnsi="Arial" w:eastAsia="方正仿宋_GBK" w:cs="Arial"/>
          <w:color w:val="000000" w:themeColor="text1"/>
          <w:sz w:val="32"/>
          <w:szCs w:val="32"/>
          <w14:textFill>
            <w14:solidFill>
              <w14:schemeClr w14:val="tx1"/>
            </w14:solidFill>
          </w14:textFill>
        </w:rPr>
      </w:pPr>
      <w:r>
        <w:rPr>
          <w:rFonts w:ascii="方正仿宋_GBK" w:hAnsi="Arial" w:eastAsia="方正仿宋_GBK" w:cs="Arial"/>
          <w:color w:val="000000" w:themeColor="text1"/>
          <w:sz w:val="32"/>
          <w:szCs w:val="32"/>
          <w14:textFill>
            <w14:solidFill>
              <w14:schemeClr w14:val="tx1"/>
            </w14:solidFill>
          </w14:textFill>
        </w:rPr>
        <w:t>6</w:t>
      </w:r>
      <w:r>
        <w:rPr>
          <w:rFonts w:hint="eastAsia" w:ascii="方正仿宋_GBK" w:hAnsi="Arial" w:eastAsia="方正仿宋_GBK" w:cs="Arial"/>
          <w:color w:val="000000" w:themeColor="text1"/>
          <w:sz w:val="32"/>
          <w:szCs w:val="32"/>
          <w14:textFill>
            <w14:solidFill>
              <w14:schemeClr w14:val="tx1"/>
            </w14:solidFill>
          </w14:textFill>
        </w:rPr>
        <w:t>.第三者财产：指除投保单位及其从业人员以外的，与生产安全事故直接相关的其他组织或个人财产。</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ascii="方正仿宋_GBK" w:hAnsi="Arial" w:eastAsia="方正仿宋_GBK" w:cs="Arial"/>
          <w:sz w:val="32"/>
          <w:szCs w:val="32"/>
        </w:rPr>
        <w:t>7</w:t>
      </w:r>
      <w:r>
        <w:rPr>
          <w:rFonts w:hint="eastAsia" w:ascii="方正仿宋_GBK" w:hAnsi="Arial" w:eastAsia="方正仿宋_GBK" w:cs="Arial"/>
          <w:sz w:val="32"/>
          <w:szCs w:val="32"/>
        </w:rPr>
        <w:t>.安全生产技术服务机构：</w:t>
      </w:r>
      <w:r>
        <w:rPr>
          <w:rFonts w:hint="eastAsia" w:ascii="方正仿宋_GBK" w:hAnsi="Arial" w:eastAsia="方正仿宋_GBK" w:cs="Arial"/>
          <w:color w:val="000000" w:themeColor="text1"/>
          <w:sz w:val="32"/>
          <w:szCs w:val="32"/>
          <w14:textFill>
            <w14:solidFill>
              <w14:schemeClr w14:val="tx1"/>
            </w14:solidFill>
          </w14:textFill>
        </w:rPr>
        <w:t>是指为投保单位提供事故预防技术服务的各类机构，包括安全生产技术与管理咨询机构、安全评价机构、安全生产检测检验机构、安全风险评估机构、安全培训机构、注册安全工程师事务所、高等院校、科研研究所和社会组织以及工程管理、咨询机构等。</w:t>
      </w:r>
    </w:p>
    <w:p>
      <w:pPr>
        <w:pStyle w:val="7"/>
        <w:shd w:val="clear" w:color="auto" w:fill="FFFFFF"/>
        <w:spacing w:before="0" w:beforeAutospacing="0" w:after="0" w:afterAutospacing="0" w:line="580" w:lineRule="exact"/>
        <w:ind w:firstLine="640" w:firstLineChars="200"/>
        <w:textAlignment w:val="baseline"/>
        <w:rPr>
          <w:rFonts w:ascii="方正仿宋_GBK" w:hAnsi="Arial" w:eastAsia="方正仿宋_GBK" w:cs="Arial"/>
          <w:color w:val="000000" w:themeColor="text1"/>
          <w:sz w:val="32"/>
          <w:szCs w:val="32"/>
          <w14:textFill>
            <w14:solidFill>
              <w14:schemeClr w14:val="tx1"/>
            </w14:solidFill>
          </w14:textFill>
        </w:rPr>
      </w:pPr>
      <w:r>
        <w:rPr>
          <w:rFonts w:ascii="方正仿宋_GBK" w:hAnsi="Arial" w:eastAsia="方正仿宋_GBK" w:cs="Arial"/>
          <w:color w:val="000000" w:themeColor="text1"/>
          <w:sz w:val="32"/>
          <w:szCs w:val="32"/>
          <w14:textFill>
            <w14:solidFill>
              <w14:schemeClr w14:val="tx1"/>
            </w14:solidFill>
          </w14:textFill>
        </w:rPr>
        <w:t>8</w:t>
      </w:r>
      <w:r>
        <w:rPr>
          <w:rFonts w:hint="eastAsia" w:ascii="方正仿宋_GBK" w:hAnsi="Arial" w:eastAsia="方正仿宋_GBK" w:cs="Arial"/>
          <w:color w:val="000000" w:themeColor="text1"/>
          <w:sz w:val="32"/>
          <w:szCs w:val="32"/>
          <w14:textFill>
            <w14:solidFill>
              <w14:schemeClr w14:val="tx1"/>
            </w14:solidFill>
          </w14:textFill>
        </w:rPr>
        <w:t>.工程造价：本意见中合同造价金额应以工程中标通知中载明的为准；未公开招标的工程项目，以总包施工合同为准。</w:t>
      </w:r>
    </w:p>
    <w:p>
      <w:pPr>
        <w:widowControl/>
        <w:ind w:firstLine="640" w:firstLineChars="200"/>
        <w:rPr>
          <w:rFonts w:ascii="方正仿宋_GBK" w:hAnsi="Arial" w:eastAsia="方正仿宋_GBK" w:cs="Arial"/>
          <w:color w:val="000000" w:themeColor="text1"/>
          <w:sz w:val="32"/>
          <w:szCs w:val="32"/>
          <w14:textFill>
            <w14:solidFill>
              <w14:schemeClr w14:val="tx1"/>
            </w14:solidFill>
          </w14:textFill>
        </w:rPr>
      </w:pPr>
      <w:r>
        <w:rPr>
          <w:rFonts w:ascii="方正仿宋_GBK" w:hAnsi="Arial" w:eastAsia="方正仿宋_GBK" w:cs="Arial"/>
          <w:color w:val="000000" w:themeColor="text1"/>
          <w:sz w:val="32"/>
          <w:szCs w:val="32"/>
          <w14:textFill>
            <w14:solidFill>
              <w14:schemeClr w14:val="tx1"/>
            </w14:solidFill>
          </w14:textFill>
        </w:rPr>
        <w:t>9</w:t>
      </w:r>
      <w:r>
        <w:rPr>
          <w:rFonts w:hint="eastAsia" w:ascii="方正仿宋_GBK" w:hAnsi="Arial" w:eastAsia="方正仿宋_GBK" w:cs="Arial"/>
          <w:color w:val="000000" w:themeColor="text1"/>
          <w:sz w:val="32"/>
          <w:szCs w:val="32"/>
          <w14:textFill>
            <w14:solidFill>
              <w14:schemeClr w14:val="tx1"/>
            </w14:solidFill>
          </w14:textFill>
        </w:rPr>
        <w:t>.重大隐患：是指施工过程中危害和整改难度较大，应当全部或者局部停工停产，并经过一定时间整改治理方能排除的隐患，或者外部因素影响致使建设工程相关责任主体单位自身难以排除的隐患（具体参见江苏省建设工程标准《房屋建筑工程施工现场安全检查用语标准及数据交换标准》中明确需下达局部停工整改通知书的隐患为准）。</w:t>
      </w:r>
    </w:p>
    <w:p>
      <w:pPr>
        <w:autoSpaceDE w:val="0"/>
        <w:autoSpaceDN w:val="0"/>
        <w:adjustRightInd w:val="0"/>
        <w:spacing w:line="580" w:lineRule="exact"/>
        <w:ind w:firstLine="640" w:firstLineChars="200"/>
        <w:rPr>
          <w:rFonts w:ascii="方正仿宋_GBK" w:eastAsia="方正仿宋_GBK" w:cs="HiddenHorzOCR"/>
          <w:color w:val="000000" w:themeColor="text1"/>
          <w:kern w:val="0"/>
          <w:sz w:val="32"/>
          <w:szCs w:val="32"/>
          <w14:textFill>
            <w14:solidFill>
              <w14:schemeClr w14:val="tx1"/>
            </w14:solidFill>
          </w14:textFill>
        </w:rPr>
      </w:pPr>
      <w:r>
        <w:rPr>
          <w:rFonts w:hint="eastAsia" w:ascii="方正仿宋_GBK" w:eastAsia="方正仿宋_GBK" w:cs="HiddenHorzOCR"/>
          <w:color w:val="000000" w:themeColor="text1"/>
          <w:kern w:val="0"/>
          <w:sz w:val="32"/>
          <w:szCs w:val="32"/>
          <w14:textFill>
            <w14:solidFill>
              <w14:schemeClr w14:val="tx1"/>
            </w14:solidFill>
          </w14:textFill>
        </w:rPr>
        <w:t>1</w:t>
      </w:r>
      <w:r>
        <w:rPr>
          <w:rFonts w:ascii="方正仿宋_GBK" w:eastAsia="方正仿宋_GBK" w:cs="HiddenHorzOCR"/>
          <w:color w:val="000000" w:themeColor="text1"/>
          <w:kern w:val="0"/>
          <w:sz w:val="32"/>
          <w:szCs w:val="32"/>
          <w14:textFill>
            <w14:solidFill>
              <w14:schemeClr w14:val="tx1"/>
            </w14:solidFill>
          </w14:textFill>
        </w:rPr>
        <w:t>0</w:t>
      </w:r>
      <w:r>
        <w:rPr>
          <w:rFonts w:hint="eastAsia" w:ascii="方正仿宋_GBK" w:eastAsia="方正仿宋_GBK" w:cs="HiddenHorzOCR"/>
          <w:color w:val="000000" w:themeColor="text1"/>
          <w:kern w:val="0"/>
          <w:sz w:val="32"/>
          <w:szCs w:val="32"/>
          <w14:textFill>
            <w14:solidFill>
              <w14:schemeClr w14:val="tx1"/>
            </w14:solidFill>
          </w14:textFill>
        </w:rPr>
        <w:t>.事故</w:t>
      </w:r>
      <w:r>
        <w:rPr>
          <w:rFonts w:hint="eastAsia" w:ascii="方正仿宋_GBK" w:hAnsi="宋体" w:eastAsia="方正仿宋_GBK" w:cs="宋体"/>
          <w:color w:val="000000" w:themeColor="text1"/>
          <w:kern w:val="0"/>
          <w:sz w:val="32"/>
          <w:szCs w:val="32"/>
          <w14:textFill>
            <w14:solidFill>
              <w14:schemeClr w14:val="tx1"/>
            </w14:solidFill>
          </w14:textFill>
        </w:rPr>
        <w:t>抢险</w:t>
      </w:r>
      <w:r>
        <w:rPr>
          <w:rFonts w:hint="eastAsia" w:ascii="方正仿宋_GBK" w:hAnsi="MS Gothic" w:eastAsia="方正仿宋_GBK" w:cs="MS Gothic"/>
          <w:color w:val="000000" w:themeColor="text1"/>
          <w:kern w:val="0"/>
          <w:sz w:val="32"/>
          <w:szCs w:val="32"/>
          <w14:textFill>
            <w14:solidFill>
              <w14:schemeClr w14:val="tx1"/>
            </w14:solidFill>
          </w14:textFill>
        </w:rPr>
        <w:t>救援</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：指保</w:t>
      </w:r>
      <w:r>
        <w:rPr>
          <w:rFonts w:hint="eastAsia" w:ascii="方正仿宋_GBK" w:hAnsi="宋体" w:eastAsia="方正仿宋_GBK" w:cs="宋体"/>
          <w:color w:val="000000" w:themeColor="text1"/>
          <w:kern w:val="0"/>
          <w:sz w:val="32"/>
          <w:szCs w:val="32"/>
          <w14:textFill>
            <w14:solidFill>
              <w14:schemeClr w14:val="tx1"/>
            </w14:solidFill>
          </w14:textFill>
        </w:rPr>
        <w:t>险责</w:t>
      </w:r>
      <w:r>
        <w:rPr>
          <w:rFonts w:hint="eastAsia" w:ascii="方正仿宋_GBK" w:hAnsi="MS Gothic" w:eastAsia="方正仿宋_GBK" w:cs="MS Gothic"/>
          <w:color w:val="000000" w:themeColor="text1"/>
          <w:kern w:val="0"/>
          <w:sz w:val="32"/>
          <w:szCs w:val="32"/>
          <w14:textFill>
            <w14:solidFill>
              <w14:schemeClr w14:val="tx1"/>
            </w14:solidFill>
          </w14:textFill>
        </w:rPr>
        <w:t>任范</w:t>
      </w:r>
      <w:r>
        <w:rPr>
          <w:rFonts w:hint="eastAsia" w:ascii="方正仿宋_GBK" w:hAnsi="宋体" w:eastAsia="方正仿宋_GBK" w:cs="宋体"/>
          <w:color w:val="000000" w:themeColor="text1"/>
          <w:kern w:val="0"/>
          <w:sz w:val="32"/>
          <w:szCs w:val="32"/>
          <w14:textFill>
            <w14:solidFill>
              <w14:schemeClr w14:val="tx1"/>
            </w14:solidFill>
          </w14:textFill>
        </w:rPr>
        <w:t>围</w:t>
      </w:r>
      <w:r>
        <w:rPr>
          <w:rFonts w:hint="eastAsia" w:ascii="方正仿宋_GBK" w:hAnsi="MS Gothic" w:eastAsia="方正仿宋_GBK" w:cs="MS Gothic"/>
          <w:color w:val="000000" w:themeColor="text1"/>
          <w:kern w:val="0"/>
          <w:sz w:val="32"/>
          <w:szCs w:val="32"/>
          <w14:textFill>
            <w14:solidFill>
              <w14:schemeClr w14:val="tx1"/>
            </w14:solidFill>
          </w14:textFill>
        </w:rPr>
        <w:t>内的生</w:t>
      </w:r>
      <w:r>
        <w:rPr>
          <w:rFonts w:hint="eastAsia" w:ascii="方正仿宋_GBK" w:hAnsi="宋体" w:eastAsia="方正仿宋_GBK" w:cs="宋体"/>
          <w:color w:val="000000" w:themeColor="text1"/>
          <w:kern w:val="0"/>
          <w:sz w:val="32"/>
          <w:szCs w:val="32"/>
          <w14:textFill>
            <w14:solidFill>
              <w14:schemeClr w14:val="tx1"/>
            </w14:solidFill>
          </w14:textFill>
        </w:rPr>
        <w:t>产</w:t>
      </w:r>
      <w:r>
        <w:rPr>
          <w:rFonts w:hint="eastAsia" w:ascii="方正仿宋_GBK" w:hAnsi="MS Gothic" w:eastAsia="方正仿宋_GBK" w:cs="MS Gothic"/>
          <w:color w:val="000000" w:themeColor="text1"/>
          <w:kern w:val="0"/>
          <w:sz w:val="32"/>
          <w:szCs w:val="32"/>
          <w14:textFill>
            <w14:solidFill>
              <w14:schemeClr w14:val="tx1"/>
            </w14:solidFill>
          </w14:textFill>
        </w:rPr>
        <w:t>安全事故或</w:t>
      </w:r>
      <w:r>
        <w:rPr>
          <w:rFonts w:hint="eastAsia" w:ascii="方正仿宋_GBK" w:hAnsi="Arial" w:eastAsia="方正仿宋_GBK" w:cs="Arial"/>
          <w:color w:val="000000" w:themeColor="text1"/>
          <w:sz w:val="32"/>
          <w:szCs w:val="32"/>
          <w14:textFill>
            <w14:solidFill>
              <w14:schemeClr w14:val="tx1"/>
            </w14:solidFill>
          </w14:textFill>
        </w:rPr>
        <w:t>施工意外事故</w:t>
      </w:r>
      <w:r>
        <w:rPr>
          <w:rFonts w:hint="eastAsia" w:ascii="方正仿宋_GBK" w:hAnsi="宋体" w:eastAsia="方正仿宋_GBK" w:cs="宋体"/>
          <w:color w:val="000000" w:themeColor="text1"/>
          <w:kern w:val="0"/>
          <w:sz w:val="32"/>
          <w:szCs w:val="32"/>
          <w14:textFill>
            <w14:solidFill>
              <w14:schemeClr w14:val="tx1"/>
            </w14:solidFill>
          </w14:textFill>
        </w:rPr>
        <w:t>发</w:t>
      </w:r>
      <w:r>
        <w:rPr>
          <w:rFonts w:hint="eastAsia" w:ascii="方正仿宋_GBK" w:hAnsi="MS Gothic" w:eastAsia="方正仿宋_GBK" w:cs="MS Gothic"/>
          <w:color w:val="000000" w:themeColor="text1"/>
          <w:kern w:val="0"/>
          <w:sz w:val="32"/>
          <w:szCs w:val="32"/>
          <w14:textFill>
            <w14:solidFill>
              <w14:schemeClr w14:val="tx1"/>
            </w14:solidFill>
          </w14:textFill>
        </w:rPr>
        <w:t>生</w:t>
      </w:r>
      <w:r>
        <w:rPr>
          <w:rFonts w:hint="eastAsia" w:ascii="方正仿宋_GBK" w:eastAsia="方正仿宋_GBK" w:cs="HiddenHorzOCR"/>
          <w:color w:val="000000" w:themeColor="text1"/>
          <w:kern w:val="0"/>
          <w:sz w:val="32"/>
          <w:szCs w:val="32"/>
          <w14:textFill>
            <w14:solidFill>
              <w14:schemeClr w14:val="tx1"/>
            </w14:solidFill>
          </w14:textFill>
        </w:rPr>
        <w:t>后，</w:t>
      </w:r>
      <w:r>
        <w:rPr>
          <w:rFonts w:hint="eastAsia" w:ascii="方正仿宋_GBK" w:hAnsi="宋体" w:eastAsia="方正仿宋_GBK" w:cs="宋体"/>
          <w:color w:val="000000" w:themeColor="text1"/>
          <w:kern w:val="0"/>
          <w:sz w:val="32"/>
          <w:szCs w:val="32"/>
          <w14:textFill>
            <w14:solidFill>
              <w14:schemeClr w14:val="tx1"/>
            </w14:solidFill>
          </w14:textFill>
        </w:rPr>
        <w:t>应</w:t>
      </w:r>
      <w:r>
        <w:rPr>
          <w:rFonts w:hint="eastAsia" w:ascii="方正仿宋_GBK" w:hAnsi="MS Gothic" w:eastAsia="方正仿宋_GBK" w:cs="MS Gothic"/>
          <w:color w:val="000000" w:themeColor="text1"/>
          <w:kern w:val="0"/>
          <w:sz w:val="32"/>
          <w:szCs w:val="32"/>
          <w14:textFill>
            <w14:solidFill>
              <w14:schemeClr w14:val="tx1"/>
            </w14:solidFill>
          </w14:textFill>
        </w:rPr>
        <w:t>由被保</w:t>
      </w:r>
      <w:r>
        <w:rPr>
          <w:rFonts w:hint="eastAsia" w:ascii="方正仿宋_GBK" w:hAnsi="宋体" w:eastAsia="方正仿宋_GBK" w:cs="宋体"/>
          <w:color w:val="000000" w:themeColor="text1"/>
          <w:kern w:val="0"/>
          <w:sz w:val="32"/>
          <w:szCs w:val="32"/>
          <w14:textFill>
            <w14:solidFill>
              <w14:schemeClr w14:val="tx1"/>
            </w14:solidFill>
          </w14:textFill>
        </w:rPr>
        <w:t>险</w:t>
      </w:r>
      <w:r>
        <w:rPr>
          <w:rFonts w:hint="eastAsia" w:ascii="方正仿宋_GBK" w:hAnsi="MS Gothic" w:eastAsia="方正仿宋_GBK" w:cs="MS Gothic"/>
          <w:color w:val="000000" w:themeColor="text1"/>
          <w:kern w:val="0"/>
          <w:sz w:val="32"/>
          <w:szCs w:val="32"/>
          <w14:textFill>
            <w14:solidFill>
              <w14:schemeClr w14:val="tx1"/>
            </w14:solidFill>
          </w14:textFill>
        </w:rPr>
        <w:t>人</w:t>
      </w:r>
      <w:r>
        <w:rPr>
          <w:rFonts w:hint="eastAsia" w:ascii="方正仿宋_GBK" w:hAnsi="宋体" w:eastAsia="方正仿宋_GBK" w:cs="宋体"/>
          <w:color w:val="000000" w:themeColor="text1"/>
          <w:kern w:val="0"/>
          <w:sz w:val="32"/>
          <w:szCs w:val="32"/>
          <w14:textFill>
            <w14:solidFill>
              <w14:schemeClr w14:val="tx1"/>
            </w14:solidFill>
          </w14:textFill>
        </w:rPr>
        <w:t>负</w:t>
      </w:r>
      <w:r>
        <w:rPr>
          <w:rFonts w:hint="eastAsia" w:ascii="方正仿宋_GBK" w:hAnsi="MS Gothic" w:eastAsia="方正仿宋_GBK" w:cs="MS Gothic"/>
          <w:color w:val="000000" w:themeColor="text1"/>
          <w:kern w:val="0"/>
          <w:sz w:val="32"/>
          <w:szCs w:val="32"/>
          <w14:textFill>
            <w14:solidFill>
              <w14:schemeClr w14:val="tx1"/>
            </w14:solidFill>
          </w14:textFill>
        </w:rPr>
        <w:t>担的因采取</w:t>
      </w:r>
      <w:r>
        <w:rPr>
          <w:rFonts w:hint="eastAsia" w:ascii="方正仿宋_GBK" w:hAnsi="宋体" w:eastAsia="方正仿宋_GBK" w:cs="宋体"/>
          <w:color w:val="000000" w:themeColor="text1"/>
          <w:kern w:val="0"/>
          <w:sz w:val="32"/>
          <w:szCs w:val="32"/>
          <w14:textFill>
            <w14:solidFill>
              <w14:schemeClr w14:val="tx1"/>
            </w14:solidFill>
          </w14:textFill>
        </w:rPr>
        <w:t>紧</w:t>
      </w:r>
      <w:r>
        <w:rPr>
          <w:rFonts w:hint="eastAsia" w:ascii="方正仿宋_GBK" w:hAnsi="MS Gothic" w:eastAsia="方正仿宋_GBK" w:cs="MS Gothic"/>
          <w:color w:val="000000" w:themeColor="text1"/>
          <w:kern w:val="0"/>
          <w:sz w:val="32"/>
          <w:szCs w:val="32"/>
          <w14:textFill>
            <w14:solidFill>
              <w14:schemeClr w14:val="tx1"/>
            </w14:solidFill>
          </w14:textFill>
        </w:rPr>
        <w:t>急</w:t>
      </w:r>
      <w:r>
        <w:rPr>
          <w:rFonts w:hint="eastAsia" w:ascii="方正仿宋_GBK" w:hAnsi="宋体" w:eastAsia="方正仿宋_GBK" w:cs="宋体"/>
          <w:color w:val="000000" w:themeColor="text1"/>
          <w:kern w:val="0"/>
          <w:sz w:val="32"/>
          <w:szCs w:val="32"/>
          <w14:textFill>
            <w14:solidFill>
              <w14:schemeClr w14:val="tx1"/>
            </w14:solidFill>
          </w14:textFill>
        </w:rPr>
        <w:t>抢险</w:t>
      </w:r>
      <w:r>
        <w:rPr>
          <w:rFonts w:hint="eastAsia" w:ascii="方正仿宋_GBK" w:hAnsi="MS Gothic" w:eastAsia="方正仿宋_GBK" w:cs="MS Gothic"/>
          <w:color w:val="000000" w:themeColor="text1"/>
          <w:kern w:val="0"/>
          <w:sz w:val="32"/>
          <w:szCs w:val="32"/>
          <w14:textFill>
            <w14:solidFill>
              <w14:schemeClr w14:val="tx1"/>
            </w14:solidFill>
          </w14:textFill>
        </w:rPr>
        <w:t>救援措施而支出的必要、</w:t>
      </w:r>
      <w:r>
        <w:rPr>
          <w:rFonts w:hint="eastAsia" w:ascii="方正仿宋_GBK" w:eastAsia="方正仿宋_GBK" w:cs="HiddenHorzOCR"/>
          <w:color w:val="000000" w:themeColor="text1"/>
          <w:kern w:val="0"/>
          <w:sz w:val="32"/>
          <w:szCs w:val="32"/>
          <w14:textFill>
            <w14:solidFill>
              <w14:schemeClr w14:val="tx1"/>
            </w14:solidFill>
          </w14:textFill>
        </w:rPr>
        <w:t>合理的救援</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（含施工</w:t>
      </w:r>
      <w:r>
        <w:rPr>
          <w:rFonts w:hint="eastAsia" w:ascii="方正仿宋_GBK" w:hAnsi="宋体" w:eastAsia="方正仿宋_GBK" w:cs="宋体"/>
          <w:color w:val="000000" w:themeColor="text1"/>
          <w:kern w:val="0"/>
          <w:sz w:val="32"/>
          <w:szCs w:val="32"/>
          <w14:textFill>
            <w14:solidFill>
              <w14:schemeClr w14:val="tx1"/>
            </w14:solidFill>
          </w14:textFill>
        </w:rPr>
        <w:t>单</w:t>
      </w:r>
      <w:r>
        <w:rPr>
          <w:rFonts w:hint="eastAsia" w:ascii="方正仿宋_GBK" w:hAnsi="MS Gothic" w:eastAsia="方正仿宋_GBK" w:cs="MS Gothic"/>
          <w:color w:val="000000" w:themeColor="text1"/>
          <w:kern w:val="0"/>
          <w:sz w:val="32"/>
          <w:szCs w:val="32"/>
          <w14:textFill>
            <w14:solidFill>
              <w14:schemeClr w14:val="tx1"/>
            </w14:solidFill>
          </w14:textFill>
        </w:rPr>
        <w:t>位按照</w:t>
      </w:r>
      <w:r>
        <w:rPr>
          <w:rFonts w:hint="eastAsia" w:ascii="方正仿宋_GBK" w:hAnsi="宋体" w:eastAsia="方正仿宋_GBK" w:cs="宋体"/>
          <w:color w:val="000000" w:themeColor="text1"/>
          <w:kern w:val="0"/>
          <w:sz w:val="32"/>
          <w:szCs w:val="32"/>
          <w14:textFill>
            <w14:solidFill>
              <w14:schemeClr w14:val="tx1"/>
            </w14:solidFill>
          </w14:textFill>
        </w:rPr>
        <w:t>项</w:t>
      </w:r>
      <w:r>
        <w:rPr>
          <w:rFonts w:hint="eastAsia" w:ascii="方正仿宋_GBK" w:hAnsi="MS Gothic" w:eastAsia="方正仿宋_GBK" w:cs="MS Gothic"/>
          <w:color w:val="000000" w:themeColor="text1"/>
          <w:kern w:val="0"/>
          <w:sz w:val="32"/>
          <w:szCs w:val="32"/>
          <w14:textFill>
            <w14:solidFill>
              <w14:schemeClr w14:val="tx1"/>
            </w14:solidFill>
          </w14:textFill>
        </w:rPr>
        <w:t>目部制定的</w:t>
      </w:r>
      <w:r>
        <w:rPr>
          <w:rFonts w:hint="eastAsia" w:ascii="方正仿宋_GBK" w:hAnsi="宋体" w:eastAsia="方正仿宋_GBK" w:cs="宋体"/>
          <w:color w:val="000000" w:themeColor="text1"/>
          <w:kern w:val="0"/>
          <w:sz w:val="32"/>
          <w:szCs w:val="32"/>
          <w14:textFill>
            <w14:solidFill>
              <w14:schemeClr w14:val="tx1"/>
            </w14:solidFill>
          </w14:textFill>
        </w:rPr>
        <w:t>应</w:t>
      </w:r>
      <w:r>
        <w:rPr>
          <w:rFonts w:hint="eastAsia" w:ascii="方正仿宋_GBK" w:hAnsi="MS Gothic" w:eastAsia="方正仿宋_GBK" w:cs="MS Gothic"/>
          <w:color w:val="000000" w:themeColor="text1"/>
          <w:kern w:val="0"/>
          <w:sz w:val="32"/>
          <w:szCs w:val="32"/>
          <w14:textFill>
            <w14:solidFill>
              <w14:schemeClr w14:val="tx1"/>
            </w14:solidFill>
          </w14:textFill>
        </w:rPr>
        <w:t>急救援</w:t>
      </w:r>
      <w:r>
        <w:rPr>
          <w:rFonts w:hint="eastAsia" w:ascii="方正仿宋_GBK" w:hAnsi="宋体" w:eastAsia="方正仿宋_GBK" w:cs="宋体"/>
          <w:color w:val="000000" w:themeColor="text1"/>
          <w:kern w:val="0"/>
          <w:sz w:val="32"/>
          <w:szCs w:val="32"/>
          <w14:textFill>
            <w14:solidFill>
              <w14:schemeClr w14:val="tx1"/>
            </w14:solidFill>
          </w14:textFill>
        </w:rPr>
        <w:t>预</w:t>
      </w:r>
      <w:r>
        <w:rPr>
          <w:rFonts w:hint="eastAsia" w:ascii="方正仿宋_GBK" w:hAnsi="MS Gothic" w:eastAsia="方正仿宋_GBK" w:cs="MS Gothic"/>
          <w:color w:val="000000" w:themeColor="text1"/>
          <w:kern w:val="0"/>
          <w:sz w:val="32"/>
          <w:szCs w:val="32"/>
          <w14:textFill>
            <w14:solidFill>
              <w14:schemeClr w14:val="tx1"/>
            </w14:solidFill>
          </w14:textFill>
        </w:rPr>
        <w:t>案开</w:t>
      </w:r>
      <w:r>
        <w:rPr>
          <w:rFonts w:hint="eastAsia" w:ascii="方正仿宋_GBK" w:eastAsia="方正仿宋_GBK" w:cs="HiddenHorzOCR"/>
          <w:color w:val="000000" w:themeColor="text1"/>
          <w:kern w:val="0"/>
          <w:sz w:val="32"/>
          <w:szCs w:val="32"/>
          <w14:textFill>
            <w14:solidFill>
              <w14:schemeClr w14:val="tx1"/>
            </w14:solidFill>
          </w14:textFill>
        </w:rPr>
        <w:t>展</w:t>
      </w:r>
      <w:r>
        <w:rPr>
          <w:rFonts w:hint="eastAsia" w:ascii="方正仿宋_GBK" w:hAnsi="宋体" w:eastAsia="方正仿宋_GBK" w:cs="宋体"/>
          <w:color w:val="000000" w:themeColor="text1"/>
          <w:kern w:val="0"/>
          <w:sz w:val="32"/>
          <w:szCs w:val="32"/>
          <w14:textFill>
            <w14:solidFill>
              <w14:schemeClr w14:val="tx1"/>
            </w14:solidFill>
          </w14:textFill>
        </w:rPr>
        <w:t>抢险</w:t>
      </w:r>
      <w:r>
        <w:rPr>
          <w:rFonts w:hint="eastAsia" w:ascii="方正仿宋_GBK" w:hAnsi="MS Gothic" w:eastAsia="方正仿宋_GBK" w:cs="MS Gothic"/>
          <w:color w:val="000000" w:themeColor="text1"/>
          <w:kern w:val="0"/>
          <w:sz w:val="32"/>
          <w:szCs w:val="32"/>
          <w14:textFill>
            <w14:solidFill>
              <w14:schemeClr w14:val="tx1"/>
            </w14:solidFill>
          </w14:textFill>
        </w:rPr>
        <w:t>救援所</w:t>
      </w:r>
      <w:r>
        <w:rPr>
          <w:rFonts w:hint="eastAsia" w:ascii="方正仿宋_GBK" w:hAnsi="宋体" w:eastAsia="方正仿宋_GBK" w:cs="宋体"/>
          <w:color w:val="000000" w:themeColor="text1"/>
          <w:kern w:val="0"/>
          <w:sz w:val="32"/>
          <w:szCs w:val="32"/>
          <w14:textFill>
            <w14:solidFill>
              <w14:schemeClr w14:val="tx1"/>
            </w14:solidFill>
          </w14:textFill>
        </w:rPr>
        <w:t>产</w:t>
      </w:r>
      <w:r>
        <w:rPr>
          <w:rFonts w:hint="eastAsia" w:ascii="方正仿宋_GBK" w:hAnsi="MS Gothic" w:eastAsia="方正仿宋_GBK" w:cs="MS Gothic"/>
          <w:color w:val="000000" w:themeColor="text1"/>
          <w:kern w:val="0"/>
          <w:sz w:val="32"/>
          <w:szCs w:val="32"/>
          <w14:textFill>
            <w14:solidFill>
              <w14:schemeClr w14:val="tx1"/>
            </w14:solidFill>
          </w14:textFill>
        </w:rPr>
        <w:t>生的</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），包括参与救援人</w:t>
      </w:r>
      <w:r>
        <w:rPr>
          <w:rFonts w:hint="eastAsia" w:ascii="方正仿宋_GBK" w:hAnsi="宋体" w:eastAsia="方正仿宋_GBK" w:cs="宋体"/>
          <w:color w:val="000000" w:themeColor="text1"/>
          <w:kern w:val="0"/>
          <w:sz w:val="32"/>
          <w:szCs w:val="32"/>
          <w14:textFill>
            <w14:solidFill>
              <w14:schemeClr w14:val="tx1"/>
            </w14:solidFill>
          </w14:textFill>
        </w:rPr>
        <w:t>员劳务费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（救援人</w:t>
      </w:r>
      <w:r>
        <w:rPr>
          <w:rFonts w:hint="eastAsia" w:ascii="方正仿宋_GBK" w:hAnsi="宋体" w:eastAsia="方正仿宋_GBK" w:cs="宋体"/>
          <w:color w:val="000000" w:themeColor="text1"/>
          <w:kern w:val="0"/>
          <w:sz w:val="32"/>
          <w:szCs w:val="32"/>
          <w14:textFill>
            <w14:solidFill>
              <w14:schemeClr w14:val="tx1"/>
            </w14:solidFill>
          </w14:textFill>
        </w:rPr>
        <w:t>员为</w:t>
      </w:r>
      <w:r>
        <w:rPr>
          <w:rFonts w:hint="eastAsia" w:ascii="方正仿宋_GBK" w:hAnsi="MS Gothic" w:eastAsia="方正仿宋_GBK" w:cs="MS Gothic"/>
          <w:color w:val="000000" w:themeColor="text1"/>
          <w:kern w:val="0"/>
          <w:sz w:val="32"/>
          <w:szCs w:val="32"/>
          <w14:textFill>
            <w14:solidFill>
              <w14:schemeClr w14:val="tx1"/>
            </w14:solidFill>
          </w14:textFill>
        </w:rPr>
        <w:t>工程</w:t>
      </w:r>
      <w:r>
        <w:rPr>
          <w:rFonts w:hint="eastAsia" w:ascii="方正仿宋_GBK" w:hAnsi="宋体" w:eastAsia="方正仿宋_GBK" w:cs="宋体"/>
          <w:color w:val="000000" w:themeColor="text1"/>
          <w:kern w:val="0"/>
          <w:sz w:val="32"/>
          <w:szCs w:val="32"/>
          <w14:textFill>
            <w14:solidFill>
              <w14:schemeClr w14:val="tx1"/>
            </w14:solidFill>
          </w14:textFill>
        </w:rPr>
        <w:t>项</w:t>
      </w:r>
      <w:r>
        <w:rPr>
          <w:rFonts w:hint="eastAsia" w:ascii="方正仿宋_GBK" w:hAnsi="MS Gothic" w:eastAsia="方正仿宋_GBK" w:cs="MS Gothic"/>
          <w:color w:val="000000" w:themeColor="text1"/>
          <w:kern w:val="0"/>
          <w:sz w:val="32"/>
          <w:szCs w:val="32"/>
          <w14:textFill>
            <w14:solidFill>
              <w14:schemeClr w14:val="tx1"/>
            </w14:solidFill>
          </w14:textFill>
        </w:rPr>
        <w:t>目施工人</w:t>
      </w:r>
      <w:r>
        <w:rPr>
          <w:rFonts w:hint="eastAsia" w:ascii="方正仿宋_GBK" w:hAnsi="宋体" w:eastAsia="方正仿宋_GBK" w:cs="宋体"/>
          <w:color w:val="000000" w:themeColor="text1"/>
          <w:kern w:val="0"/>
          <w:sz w:val="32"/>
          <w:szCs w:val="32"/>
          <w14:textFill>
            <w14:solidFill>
              <w14:schemeClr w14:val="tx1"/>
            </w14:solidFill>
          </w14:textFill>
        </w:rPr>
        <w:t>员</w:t>
      </w:r>
      <w:r>
        <w:rPr>
          <w:rFonts w:hint="eastAsia" w:ascii="方正仿宋_GBK" w:hAnsi="MS Gothic" w:eastAsia="方正仿宋_GBK" w:cs="MS Gothic"/>
          <w:color w:val="000000" w:themeColor="text1"/>
          <w:kern w:val="0"/>
          <w:sz w:val="32"/>
          <w:szCs w:val="32"/>
          <w14:textFill>
            <w14:solidFill>
              <w14:schemeClr w14:val="tx1"/>
            </w14:solidFill>
          </w14:textFill>
        </w:rPr>
        <w:t>及与工程有关并</w:t>
      </w:r>
      <w:r>
        <w:rPr>
          <w:rFonts w:hint="eastAsia" w:ascii="方正仿宋_GBK" w:hAnsi="宋体" w:eastAsia="方正仿宋_GBK" w:cs="宋体"/>
          <w:color w:val="000000" w:themeColor="text1"/>
          <w:kern w:val="0"/>
          <w:sz w:val="32"/>
          <w:szCs w:val="32"/>
          <w14:textFill>
            <w14:solidFill>
              <w14:schemeClr w14:val="tx1"/>
            </w14:solidFill>
          </w14:textFill>
        </w:rPr>
        <w:t>进</w:t>
      </w:r>
      <w:r>
        <w:rPr>
          <w:rFonts w:hint="eastAsia" w:ascii="方正仿宋_GBK" w:hAnsi="MS Gothic" w:eastAsia="方正仿宋_GBK" w:cs="MS Gothic"/>
          <w:color w:val="000000" w:themeColor="text1"/>
          <w:kern w:val="0"/>
          <w:sz w:val="32"/>
          <w:szCs w:val="32"/>
          <w14:textFill>
            <w14:solidFill>
              <w14:schemeClr w14:val="tx1"/>
            </w14:solidFill>
          </w14:textFill>
        </w:rPr>
        <w:t>入施工</w:t>
      </w:r>
      <w:r>
        <w:rPr>
          <w:rFonts w:hint="eastAsia" w:ascii="方正仿宋_GBK" w:hAnsi="宋体" w:eastAsia="方正仿宋_GBK" w:cs="宋体"/>
          <w:color w:val="000000" w:themeColor="text1"/>
          <w:kern w:val="0"/>
          <w:sz w:val="32"/>
          <w:szCs w:val="32"/>
          <w14:textFill>
            <w14:solidFill>
              <w14:schemeClr w14:val="tx1"/>
            </w14:solidFill>
          </w14:textFill>
        </w:rPr>
        <w:t>现场</w:t>
      </w:r>
      <w:r>
        <w:rPr>
          <w:rFonts w:hint="eastAsia" w:ascii="方正仿宋_GBK" w:hAnsi="MS Gothic" w:eastAsia="方正仿宋_GBK" w:cs="MS Gothic"/>
          <w:color w:val="000000" w:themeColor="text1"/>
          <w:kern w:val="0"/>
          <w:sz w:val="32"/>
          <w:szCs w:val="32"/>
          <w14:textFill>
            <w14:solidFill>
              <w14:schemeClr w14:val="tx1"/>
            </w14:solidFill>
          </w14:textFill>
        </w:rPr>
        <w:t>的所有人</w:t>
      </w:r>
      <w:r>
        <w:rPr>
          <w:rFonts w:hint="eastAsia" w:ascii="方正仿宋_GBK" w:hAnsi="宋体" w:eastAsia="方正仿宋_GBK" w:cs="宋体"/>
          <w:color w:val="000000" w:themeColor="text1"/>
          <w:kern w:val="0"/>
          <w:sz w:val="32"/>
          <w:szCs w:val="32"/>
          <w14:textFill>
            <w14:solidFill>
              <w14:schemeClr w14:val="tx1"/>
            </w14:solidFill>
          </w14:textFill>
        </w:rPr>
        <w:t>员</w:t>
      </w:r>
      <w:r>
        <w:rPr>
          <w:rFonts w:hint="eastAsia" w:ascii="方正仿宋_GBK" w:hAnsi="MS Gothic" w:eastAsia="方正仿宋_GBK" w:cs="MS Gothic"/>
          <w:color w:val="000000" w:themeColor="text1"/>
          <w:kern w:val="0"/>
          <w:sz w:val="32"/>
          <w:szCs w:val="32"/>
          <w14:textFill>
            <w14:solidFill>
              <w14:schemeClr w14:val="tx1"/>
            </w14:solidFill>
          </w14:textFill>
        </w:rPr>
        <w:t>的除外</w:t>
      </w:r>
      <w:r>
        <w:rPr>
          <w:rFonts w:hint="eastAsia" w:ascii="方正仿宋_GBK" w:eastAsia="方正仿宋_GBK" w:cs="HiddenHorzOCR"/>
          <w:color w:val="000000" w:themeColor="text1"/>
          <w:kern w:val="0"/>
          <w:sz w:val="32"/>
          <w:szCs w:val="32"/>
          <w14:textFill>
            <w14:solidFill>
              <w14:schemeClr w14:val="tx1"/>
            </w14:solidFill>
          </w14:textFill>
        </w:rPr>
        <w:t>），参与救援器材、</w:t>
      </w:r>
      <w:r>
        <w:rPr>
          <w:rFonts w:hint="eastAsia" w:ascii="方正仿宋_GBK" w:hAnsi="宋体" w:eastAsia="方正仿宋_GBK" w:cs="宋体"/>
          <w:color w:val="000000" w:themeColor="text1"/>
          <w:kern w:val="0"/>
          <w:sz w:val="32"/>
          <w:szCs w:val="32"/>
          <w14:textFill>
            <w14:solidFill>
              <w14:schemeClr w14:val="tx1"/>
            </w14:solidFill>
          </w14:textFill>
        </w:rPr>
        <w:t>设备</w:t>
      </w:r>
      <w:r>
        <w:rPr>
          <w:rFonts w:hint="eastAsia" w:ascii="方正仿宋_GBK" w:hAnsi="MS Gothic" w:eastAsia="方正仿宋_GBK" w:cs="MS Gothic"/>
          <w:color w:val="000000" w:themeColor="text1"/>
          <w:kern w:val="0"/>
          <w:sz w:val="32"/>
          <w:szCs w:val="32"/>
          <w14:textFill>
            <w14:solidFill>
              <w14:schemeClr w14:val="tx1"/>
            </w14:solidFill>
          </w14:textFill>
        </w:rPr>
        <w:t>的租</w:t>
      </w:r>
      <w:r>
        <w:rPr>
          <w:rFonts w:hint="eastAsia" w:ascii="方正仿宋_GBK" w:hAnsi="宋体" w:eastAsia="方正仿宋_GBK" w:cs="宋体"/>
          <w:color w:val="000000" w:themeColor="text1"/>
          <w:kern w:val="0"/>
          <w:sz w:val="32"/>
          <w:szCs w:val="32"/>
          <w14:textFill>
            <w14:solidFill>
              <w14:schemeClr w14:val="tx1"/>
            </w14:solidFill>
          </w14:textFill>
        </w:rPr>
        <w:t>赁</w:t>
      </w:r>
      <w:r>
        <w:rPr>
          <w:rFonts w:hint="eastAsia" w:ascii="方正仿宋_GBK" w:eastAsia="方正仿宋_GBK" w:cs="HiddenHorzOCR"/>
          <w:color w:val="000000" w:themeColor="text1"/>
          <w:kern w:val="0"/>
          <w:sz w:val="32"/>
          <w:szCs w:val="32"/>
          <w14:textFill>
            <w14:solidFill>
              <w14:schemeClr w14:val="tx1"/>
            </w14:solidFill>
          </w14:textFill>
        </w:rPr>
        <w:t>、使用</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hAnsi="MS Gothic" w:eastAsia="方正仿宋_GBK" w:cs="MS Gothic"/>
          <w:color w:val="000000" w:themeColor="text1"/>
          <w:kern w:val="0"/>
          <w:sz w:val="32"/>
          <w:szCs w:val="32"/>
          <w14:textFill>
            <w14:solidFill>
              <w14:schemeClr w14:val="tx1"/>
            </w14:solidFill>
          </w14:textFill>
        </w:rPr>
        <w:t>用，救援工</w:t>
      </w:r>
      <w:r>
        <w:rPr>
          <w:rFonts w:hint="eastAsia" w:ascii="方正仿宋_GBK" w:eastAsia="方正仿宋_GBK" w:cs="HiddenHorzOCR"/>
          <w:color w:val="000000" w:themeColor="text1"/>
          <w:kern w:val="0"/>
          <w:sz w:val="32"/>
          <w:szCs w:val="32"/>
          <w14:textFill>
            <w14:solidFill>
              <w14:schemeClr w14:val="tx1"/>
            </w14:solidFill>
          </w14:textFill>
        </w:rPr>
        <w:t>具附置</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w:t>
      </w:r>
    </w:p>
    <w:p>
      <w:pPr>
        <w:autoSpaceDE w:val="0"/>
        <w:autoSpaceDN w:val="0"/>
        <w:adjustRightInd w:val="0"/>
        <w:spacing w:line="580" w:lineRule="exact"/>
        <w:ind w:firstLine="640" w:firstLineChars="200"/>
        <w:rPr>
          <w:rFonts w:ascii="方正仿宋_GBK" w:eastAsia="方正仿宋_GBK" w:cs="HiddenHorzOCR"/>
          <w:color w:val="000000" w:themeColor="text1"/>
          <w:kern w:val="0"/>
          <w:sz w:val="32"/>
          <w:szCs w:val="32"/>
          <w14:textFill>
            <w14:solidFill>
              <w14:schemeClr w14:val="tx1"/>
            </w14:solidFill>
          </w14:textFill>
        </w:rPr>
      </w:pPr>
      <w:r>
        <w:rPr>
          <w:rFonts w:hint="eastAsia" w:ascii="方正仿宋_GBK" w:eastAsia="方正仿宋_GBK" w:cs="HiddenHorzOCR"/>
          <w:color w:val="000000" w:themeColor="text1"/>
          <w:kern w:val="0"/>
          <w:sz w:val="32"/>
          <w:szCs w:val="32"/>
          <w14:textFill>
            <w14:solidFill>
              <w14:schemeClr w14:val="tx1"/>
            </w14:solidFill>
          </w14:textFill>
        </w:rPr>
        <w:t>1</w:t>
      </w:r>
      <w:r>
        <w:rPr>
          <w:rFonts w:ascii="方正仿宋_GBK" w:eastAsia="方正仿宋_GBK" w:cs="HiddenHorzOCR"/>
          <w:color w:val="000000" w:themeColor="text1"/>
          <w:kern w:val="0"/>
          <w:sz w:val="32"/>
          <w:szCs w:val="32"/>
          <w14:textFill>
            <w14:solidFill>
              <w14:schemeClr w14:val="tx1"/>
            </w14:solidFill>
          </w14:textFill>
        </w:rPr>
        <w:t>1</w:t>
      </w:r>
      <w:r>
        <w:rPr>
          <w:rFonts w:hint="eastAsia" w:ascii="方正仿宋_GBK" w:eastAsia="方正仿宋_GBK" w:cs="HiddenHorzOCR"/>
          <w:color w:val="000000" w:themeColor="text1"/>
          <w:kern w:val="0"/>
          <w:sz w:val="32"/>
          <w:szCs w:val="32"/>
          <w14:textFill>
            <w14:solidFill>
              <w14:schemeClr w14:val="tx1"/>
            </w14:solidFill>
          </w14:textFill>
        </w:rPr>
        <w:t>.医</w:t>
      </w:r>
      <w:r>
        <w:rPr>
          <w:rFonts w:hint="eastAsia" w:ascii="方正仿宋_GBK" w:hAnsi="宋体" w:eastAsia="方正仿宋_GBK" w:cs="宋体"/>
          <w:color w:val="000000" w:themeColor="text1"/>
          <w:kern w:val="0"/>
          <w:sz w:val="32"/>
          <w:szCs w:val="32"/>
          <w14:textFill>
            <w14:solidFill>
              <w14:schemeClr w14:val="tx1"/>
            </w14:solidFill>
          </w14:textFill>
        </w:rPr>
        <w:t>疗</w:t>
      </w:r>
      <w:r>
        <w:rPr>
          <w:rFonts w:hint="eastAsia" w:ascii="方正仿宋_GBK" w:hAnsi="MS Gothic" w:eastAsia="方正仿宋_GBK" w:cs="MS Gothic"/>
          <w:color w:val="000000" w:themeColor="text1"/>
          <w:kern w:val="0"/>
          <w:sz w:val="32"/>
          <w:szCs w:val="32"/>
          <w14:textFill>
            <w14:solidFill>
              <w14:schemeClr w14:val="tx1"/>
            </w14:solidFill>
          </w14:textFill>
        </w:rPr>
        <w:t>救</w:t>
      </w:r>
      <w:r>
        <w:rPr>
          <w:rFonts w:hint="eastAsia" w:ascii="方正仿宋_GBK" w:hAnsi="宋体" w:eastAsia="方正仿宋_GBK" w:cs="宋体"/>
          <w:color w:val="000000" w:themeColor="text1"/>
          <w:kern w:val="0"/>
          <w:sz w:val="32"/>
          <w:szCs w:val="32"/>
          <w14:textFill>
            <w14:solidFill>
              <w14:schemeClr w14:val="tx1"/>
            </w14:solidFill>
          </w14:textFill>
        </w:rPr>
        <w:t>护费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：指保</w:t>
      </w:r>
      <w:r>
        <w:rPr>
          <w:rFonts w:hint="eastAsia" w:ascii="方正仿宋_GBK" w:hAnsi="宋体" w:eastAsia="方正仿宋_GBK" w:cs="宋体"/>
          <w:color w:val="000000" w:themeColor="text1"/>
          <w:kern w:val="0"/>
          <w:sz w:val="32"/>
          <w:szCs w:val="32"/>
          <w14:textFill>
            <w14:solidFill>
              <w14:schemeClr w14:val="tx1"/>
            </w14:solidFill>
          </w14:textFill>
        </w:rPr>
        <w:t>险责</w:t>
      </w:r>
      <w:r>
        <w:rPr>
          <w:rFonts w:hint="eastAsia" w:ascii="方正仿宋_GBK" w:hAnsi="MS Gothic" w:eastAsia="方正仿宋_GBK" w:cs="MS Gothic"/>
          <w:color w:val="000000" w:themeColor="text1"/>
          <w:kern w:val="0"/>
          <w:sz w:val="32"/>
          <w:szCs w:val="32"/>
          <w14:textFill>
            <w14:solidFill>
              <w14:schemeClr w14:val="tx1"/>
            </w14:solidFill>
          </w14:textFill>
        </w:rPr>
        <w:t>任范</w:t>
      </w:r>
      <w:r>
        <w:rPr>
          <w:rFonts w:hint="eastAsia" w:ascii="方正仿宋_GBK" w:hAnsi="宋体" w:eastAsia="方正仿宋_GBK" w:cs="宋体"/>
          <w:color w:val="000000" w:themeColor="text1"/>
          <w:kern w:val="0"/>
          <w:sz w:val="32"/>
          <w:szCs w:val="32"/>
          <w14:textFill>
            <w14:solidFill>
              <w14:schemeClr w14:val="tx1"/>
            </w14:solidFill>
          </w14:textFill>
        </w:rPr>
        <w:t>围</w:t>
      </w:r>
      <w:r>
        <w:rPr>
          <w:rFonts w:hint="eastAsia" w:ascii="方正仿宋_GBK" w:hAnsi="MS Gothic" w:eastAsia="方正仿宋_GBK" w:cs="MS Gothic"/>
          <w:color w:val="000000" w:themeColor="text1"/>
          <w:kern w:val="0"/>
          <w:sz w:val="32"/>
          <w:szCs w:val="32"/>
          <w14:textFill>
            <w14:solidFill>
              <w14:schemeClr w14:val="tx1"/>
            </w14:solidFill>
          </w14:textFill>
        </w:rPr>
        <w:t>内的生</w:t>
      </w:r>
      <w:r>
        <w:rPr>
          <w:rFonts w:hint="eastAsia" w:ascii="方正仿宋_GBK" w:hAnsi="宋体" w:eastAsia="方正仿宋_GBK" w:cs="宋体"/>
          <w:color w:val="000000" w:themeColor="text1"/>
          <w:kern w:val="0"/>
          <w:sz w:val="32"/>
          <w:szCs w:val="32"/>
          <w14:textFill>
            <w14:solidFill>
              <w14:schemeClr w14:val="tx1"/>
            </w14:solidFill>
          </w14:textFill>
        </w:rPr>
        <w:t>产</w:t>
      </w:r>
      <w:r>
        <w:rPr>
          <w:rFonts w:hint="eastAsia" w:ascii="方正仿宋_GBK" w:hAnsi="MS Gothic" w:eastAsia="方正仿宋_GBK" w:cs="MS Gothic"/>
          <w:color w:val="000000" w:themeColor="text1"/>
          <w:kern w:val="0"/>
          <w:sz w:val="32"/>
          <w:szCs w:val="32"/>
          <w14:textFill>
            <w14:solidFill>
              <w14:schemeClr w14:val="tx1"/>
            </w14:solidFill>
          </w14:textFill>
        </w:rPr>
        <w:t>安全事故或</w:t>
      </w:r>
      <w:r>
        <w:rPr>
          <w:rFonts w:hint="eastAsia" w:ascii="方正仿宋_GBK" w:hAnsi="Arial" w:eastAsia="方正仿宋_GBK" w:cs="Arial"/>
          <w:color w:val="000000" w:themeColor="text1"/>
          <w:sz w:val="32"/>
          <w:szCs w:val="32"/>
          <w14:textFill>
            <w14:solidFill>
              <w14:schemeClr w14:val="tx1"/>
            </w14:solidFill>
          </w14:textFill>
        </w:rPr>
        <w:t>施工意外事故</w:t>
      </w:r>
      <w:r>
        <w:rPr>
          <w:rFonts w:hint="eastAsia" w:ascii="方正仿宋_GBK" w:hAnsi="宋体" w:eastAsia="方正仿宋_GBK" w:cs="宋体"/>
          <w:color w:val="000000" w:themeColor="text1"/>
          <w:kern w:val="0"/>
          <w:sz w:val="32"/>
          <w:szCs w:val="32"/>
          <w14:textFill>
            <w14:solidFill>
              <w14:schemeClr w14:val="tx1"/>
            </w14:solidFill>
          </w14:textFill>
        </w:rPr>
        <w:t>发</w:t>
      </w:r>
      <w:r>
        <w:rPr>
          <w:rFonts w:hint="eastAsia" w:ascii="方正仿宋_GBK" w:hAnsi="MS Gothic" w:eastAsia="方正仿宋_GBK" w:cs="MS Gothic"/>
          <w:color w:val="000000" w:themeColor="text1"/>
          <w:kern w:val="0"/>
          <w:sz w:val="32"/>
          <w:szCs w:val="32"/>
          <w14:textFill>
            <w14:solidFill>
              <w14:schemeClr w14:val="tx1"/>
            </w14:solidFill>
          </w14:textFill>
        </w:rPr>
        <w:t>生后，</w:t>
      </w:r>
      <w:r>
        <w:rPr>
          <w:rFonts w:hint="eastAsia" w:ascii="方正仿宋_GBK" w:hAnsi="宋体" w:eastAsia="方正仿宋_GBK" w:cs="宋体"/>
          <w:color w:val="000000" w:themeColor="text1"/>
          <w:kern w:val="0"/>
          <w:sz w:val="32"/>
          <w:szCs w:val="32"/>
          <w14:textFill>
            <w14:solidFill>
              <w14:schemeClr w14:val="tx1"/>
            </w14:solidFill>
          </w14:textFill>
        </w:rPr>
        <w:t>应</w:t>
      </w:r>
      <w:r>
        <w:rPr>
          <w:rFonts w:hint="eastAsia" w:ascii="方正仿宋_GBK" w:hAnsi="MS Gothic" w:eastAsia="方正仿宋_GBK" w:cs="MS Gothic"/>
          <w:color w:val="000000" w:themeColor="text1"/>
          <w:kern w:val="0"/>
          <w:sz w:val="32"/>
          <w:szCs w:val="32"/>
          <w14:textFill>
            <w14:solidFill>
              <w14:schemeClr w14:val="tx1"/>
            </w14:solidFill>
          </w14:textFill>
        </w:rPr>
        <w:t>由被保</w:t>
      </w:r>
      <w:r>
        <w:rPr>
          <w:rFonts w:hint="eastAsia" w:ascii="方正仿宋_GBK" w:hAnsi="宋体" w:eastAsia="方正仿宋_GBK" w:cs="宋体"/>
          <w:color w:val="000000" w:themeColor="text1"/>
          <w:kern w:val="0"/>
          <w:sz w:val="32"/>
          <w:szCs w:val="32"/>
          <w14:textFill>
            <w14:solidFill>
              <w14:schemeClr w14:val="tx1"/>
            </w14:solidFill>
          </w14:textFill>
        </w:rPr>
        <w:t>险</w:t>
      </w:r>
      <w:r>
        <w:rPr>
          <w:rFonts w:hint="eastAsia" w:ascii="方正仿宋_GBK" w:hAnsi="MS Gothic" w:eastAsia="方正仿宋_GBK" w:cs="MS Gothic"/>
          <w:color w:val="000000" w:themeColor="text1"/>
          <w:kern w:val="0"/>
          <w:sz w:val="32"/>
          <w:szCs w:val="32"/>
          <w14:textFill>
            <w14:solidFill>
              <w14:schemeClr w14:val="tx1"/>
            </w14:solidFill>
          </w14:textFill>
        </w:rPr>
        <w:t>人</w:t>
      </w:r>
      <w:r>
        <w:rPr>
          <w:rFonts w:hint="eastAsia" w:ascii="方正仿宋_GBK" w:hAnsi="宋体" w:eastAsia="方正仿宋_GBK" w:cs="宋体"/>
          <w:color w:val="000000" w:themeColor="text1"/>
          <w:kern w:val="0"/>
          <w:sz w:val="32"/>
          <w:szCs w:val="32"/>
          <w14:textFill>
            <w14:solidFill>
              <w14:schemeClr w14:val="tx1"/>
            </w14:solidFill>
          </w14:textFill>
        </w:rPr>
        <w:t>负</w:t>
      </w:r>
      <w:r>
        <w:rPr>
          <w:rFonts w:hint="eastAsia" w:ascii="方正仿宋_GBK" w:hAnsi="MS Gothic" w:eastAsia="方正仿宋_GBK" w:cs="MS Gothic"/>
          <w:color w:val="000000" w:themeColor="text1"/>
          <w:kern w:val="0"/>
          <w:sz w:val="32"/>
          <w:szCs w:val="32"/>
          <w14:textFill>
            <w14:solidFill>
              <w14:schemeClr w14:val="tx1"/>
            </w14:solidFill>
          </w14:textFill>
        </w:rPr>
        <w:t>担的，在事故</w:t>
      </w:r>
      <w:r>
        <w:rPr>
          <w:rFonts w:hint="eastAsia" w:ascii="方正仿宋_GBK" w:hAnsi="宋体" w:eastAsia="方正仿宋_GBK" w:cs="宋体"/>
          <w:color w:val="000000" w:themeColor="text1"/>
          <w:kern w:val="0"/>
          <w:sz w:val="32"/>
          <w:szCs w:val="32"/>
          <w14:textFill>
            <w14:solidFill>
              <w14:schemeClr w14:val="tx1"/>
            </w14:solidFill>
          </w14:textFill>
        </w:rPr>
        <w:t>现场发</w:t>
      </w:r>
      <w:r>
        <w:rPr>
          <w:rFonts w:hint="eastAsia" w:ascii="方正仿宋_GBK" w:hAnsi="MS Gothic" w:eastAsia="方正仿宋_GBK" w:cs="MS Gothic"/>
          <w:color w:val="000000" w:themeColor="text1"/>
          <w:kern w:val="0"/>
          <w:sz w:val="32"/>
          <w:szCs w:val="32"/>
          <w14:textFill>
            <w14:solidFill>
              <w14:schemeClr w14:val="tx1"/>
            </w14:solidFill>
          </w14:textFill>
        </w:rPr>
        <w:t>生的救治、救</w:t>
      </w:r>
      <w:r>
        <w:rPr>
          <w:rFonts w:hint="eastAsia" w:ascii="方正仿宋_GBK" w:hAnsi="宋体" w:eastAsia="方正仿宋_GBK" w:cs="宋体"/>
          <w:color w:val="000000" w:themeColor="text1"/>
          <w:kern w:val="0"/>
          <w:sz w:val="32"/>
          <w:szCs w:val="32"/>
          <w14:textFill>
            <w14:solidFill>
              <w14:schemeClr w14:val="tx1"/>
            </w14:solidFill>
          </w14:textFill>
        </w:rPr>
        <w:t>护伤员</w:t>
      </w:r>
      <w:r>
        <w:rPr>
          <w:rFonts w:hint="eastAsia" w:ascii="方正仿宋_GBK" w:hAnsi="MS Gothic" w:eastAsia="方正仿宋_GBK" w:cs="MS Gothic"/>
          <w:color w:val="000000" w:themeColor="text1"/>
          <w:kern w:val="0"/>
          <w:sz w:val="32"/>
          <w:szCs w:val="32"/>
          <w14:textFill>
            <w14:solidFill>
              <w14:schemeClr w14:val="tx1"/>
            </w14:solidFill>
          </w14:textFill>
        </w:rPr>
        <w:t>的合理的</w:t>
      </w:r>
      <w:r>
        <w:rPr>
          <w:rFonts w:hint="eastAsia" w:ascii="方正仿宋_GBK" w:eastAsia="方正仿宋_GBK" w:cs="HiddenHorzOCR"/>
          <w:color w:val="000000" w:themeColor="text1"/>
          <w:kern w:val="0"/>
          <w:sz w:val="32"/>
          <w:szCs w:val="32"/>
          <w14:textFill>
            <w14:solidFill>
              <w14:schemeClr w14:val="tx1"/>
            </w14:solidFill>
          </w14:textFill>
        </w:rPr>
        <w:t>、必要的医</w:t>
      </w:r>
      <w:r>
        <w:rPr>
          <w:rFonts w:hint="eastAsia" w:ascii="方正仿宋_GBK" w:hAnsi="宋体" w:eastAsia="方正仿宋_GBK" w:cs="宋体"/>
          <w:color w:val="000000" w:themeColor="text1"/>
          <w:kern w:val="0"/>
          <w:sz w:val="32"/>
          <w:szCs w:val="32"/>
          <w14:textFill>
            <w14:solidFill>
              <w14:schemeClr w14:val="tx1"/>
            </w14:solidFill>
          </w14:textFill>
        </w:rPr>
        <w:t>疗抢</w:t>
      </w:r>
      <w:r>
        <w:rPr>
          <w:rFonts w:hint="eastAsia" w:ascii="方正仿宋_GBK" w:hAnsi="MS Gothic" w:eastAsia="方正仿宋_GBK" w:cs="MS Gothic"/>
          <w:color w:val="000000" w:themeColor="text1"/>
          <w:kern w:val="0"/>
          <w:sz w:val="32"/>
          <w:szCs w:val="32"/>
          <w14:textFill>
            <w14:solidFill>
              <w14:schemeClr w14:val="tx1"/>
            </w14:solidFill>
          </w14:textFill>
        </w:rPr>
        <w:t>救</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w:t>
      </w:r>
    </w:p>
    <w:p>
      <w:pPr>
        <w:autoSpaceDE w:val="0"/>
        <w:autoSpaceDN w:val="0"/>
        <w:adjustRightInd w:val="0"/>
        <w:spacing w:line="580" w:lineRule="exact"/>
        <w:ind w:firstLine="640" w:firstLineChars="200"/>
        <w:rPr>
          <w:rFonts w:ascii="方正仿宋_GBK" w:eastAsia="方正仿宋_GBK" w:cs="HiddenHorzOCR"/>
          <w:color w:val="000000" w:themeColor="text1"/>
          <w:kern w:val="0"/>
          <w:sz w:val="32"/>
          <w:szCs w:val="32"/>
          <w14:textFill>
            <w14:solidFill>
              <w14:schemeClr w14:val="tx1"/>
            </w14:solidFill>
          </w14:textFill>
        </w:rPr>
      </w:pPr>
      <w:r>
        <w:rPr>
          <w:rFonts w:hint="eastAsia" w:ascii="方正仿宋_GBK" w:eastAsia="方正仿宋_GBK" w:cs="HiddenHorzOCR"/>
          <w:color w:val="000000" w:themeColor="text1"/>
          <w:kern w:val="0"/>
          <w:sz w:val="32"/>
          <w:szCs w:val="32"/>
          <w14:textFill>
            <w14:solidFill>
              <w14:schemeClr w14:val="tx1"/>
            </w14:solidFill>
          </w14:textFill>
        </w:rPr>
        <w:t>1</w:t>
      </w:r>
      <w:r>
        <w:rPr>
          <w:rFonts w:ascii="方正仿宋_GBK" w:eastAsia="方正仿宋_GBK" w:cs="HiddenHorzOCR"/>
          <w:color w:val="000000" w:themeColor="text1"/>
          <w:kern w:val="0"/>
          <w:sz w:val="32"/>
          <w:szCs w:val="32"/>
          <w14:textFill>
            <w14:solidFill>
              <w14:schemeClr w14:val="tx1"/>
            </w14:solidFill>
          </w14:textFill>
        </w:rPr>
        <w:t>2</w:t>
      </w:r>
      <w:r>
        <w:rPr>
          <w:rFonts w:hint="eastAsia" w:ascii="方正仿宋_GBK" w:eastAsia="方正仿宋_GBK" w:cs="HiddenHorzOCR"/>
          <w:color w:val="000000" w:themeColor="text1"/>
          <w:kern w:val="0"/>
          <w:sz w:val="32"/>
          <w:szCs w:val="32"/>
          <w14:textFill>
            <w14:solidFill>
              <w14:schemeClr w14:val="tx1"/>
            </w14:solidFill>
          </w14:textFill>
        </w:rPr>
        <w:t>.事故</w:t>
      </w:r>
      <w:r>
        <w:rPr>
          <w:rFonts w:hint="eastAsia" w:ascii="方正仿宋_GBK" w:hAnsi="宋体" w:eastAsia="方正仿宋_GBK" w:cs="宋体"/>
          <w:color w:val="000000" w:themeColor="text1"/>
          <w:kern w:val="0"/>
          <w:sz w:val="32"/>
          <w:szCs w:val="32"/>
          <w14:textFill>
            <w14:solidFill>
              <w14:schemeClr w14:val="tx1"/>
            </w14:solidFill>
          </w14:textFill>
        </w:rPr>
        <w:t>鉴</w:t>
      </w:r>
      <w:r>
        <w:rPr>
          <w:rFonts w:hint="eastAsia" w:ascii="方正仿宋_GBK" w:hAnsi="MS Gothic" w:eastAsia="方正仿宋_GBK" w:cs="MS Gothic"/>
          <w:color w:val="000000" w:themeColor="text1"/>
          <w:kern w:val="0"/>
          <w:sz w:val="32"/>
          <w:szCs w:val="32"/>
          <w14:textFill>
            <w14:solidFill>
              <w14:schemeClr w14:val="tx1"/>
            </w14:solidFill>
          </w14:textFill>
        </w:rPr>
        <w:t>定</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 是指</w:t>
      </w:r>
      <w:r>
        <w:rPr>
          <w:rFonts w:hint="eastAsia" w:ascii="方正仿宋_GBK" w:hAnsi="宋体" w:eastAsia="方正仿宋_GBK" w:cs="宋体"/>
          <w:color w:val="000000" w:themeColor="text1"/>
          <w:kern w:val="0"/>
          <w:sz w:val="32"/>
          <w:szCs w:val="32"/>
          <w14:textFill>
            <w14:solidFill>
              <w14:schemeClr w14:val="tx1"/>
            </w14:solidFill>
          </w14:textFill>
        </w:rPr>
        <w:t>为</w:t>
      </w:r>
      <w:r>
        <w:rPr>
          <w:rFonts w:hint="eastAsia" w:ascii="方正仿宋_GBK" w:hAnsi="MS Gothic" w:eastAsia="方正仿宋_GBK" w:cs="MS Gothic"/>
          <w:color w:val="000000" w:themeColor="text1"/>
          <w:kern w:val="0"/>
          <w:sz w:val="32"/>
          <w:szCs w:val="32"/>
          <w14:textFill>
            <w14:solidFill>
              <w14:schemeClr w14:val="tx1"/>
            </w14:solidFill>
          </w14:textFill>
        </w:rPr>
        <w:t>核</w:t>
      </w:r>
      <w:r>
        <w:rPr>
          <w:rFonts w:hint="eastAsia" w:ascii="方正仿宋_GBK" w:hAnsi="宋体" w:eastAsia="方正仿宋_GBK" w:cs="宋体"/>
          <w:color w:val="000000" w:themeColor="text1"/>
          <w:kern w:val="0"/>
          <w:sz w:val="32"/>
          <w:szCs w:val="32"/>
          <w14:textFill>
            <w14:solidFill>
              <w14:schemeClr w14:val="tx1"/>
            </w14:solidFill>
          </w14:textFill>
        </w:rPr>
        <w:t>实</w:t>
      </w:r>
      <w:r>
        <w:rPr>
          <w:rFonts w:hint="eastAsia" w:ascii="方正仿宋_GBK" w:hAnsi="MS Gothic" w:eastAsia="方正仿宋_GBK" w:cs="MS Gothic"/>
          <w:color w:val="000000" w:themeColor="text1"/>
          <w:kern w:val="0"/>
          <w:sz w:val="32"/>
          <w:szCs w:val="32"/>
          <w14:textFill>
            <w14:solidFill>
              <w14:schemeClr w14:val="tx1"/>
            </w14:solidFill>
          </w14:textFill>
        </w:rPr>
        <w:t>保</w:t>
      </w:r>
      <w:r>
        <w:rPr>
          <w:rFonts w:hint="eastAsia" w:ascii="方正仿宋_GBK" w:hAnsi="宋体" w:eastAsia="方正仿宋_GBK" w:cs="宋体"/>
          <w:color w:val="000000" w:themeColor="text1"/>
          <w:kern w:val="0"/>
          <w:sz w:val="32"/>
          <w:szCs w:val="32"/>
          <w14:textFill>
            <w14:solidFill>
              <w14:schemeClr w14:val="tx1"/>
            </w14:solidFill>
          </w14:textFill>
        </w:rPr>
        <w:t>险责</w:t>
      </w:r>
      <w:r>
        <w:rPr>
          <w:rFonts w:hint="eastAsia" w:ascii="方正仿宋_GBK" w:hAnsi="MS Gothic" w:eastAsia="方正仿宋_GBK" w:cs="MS Gothic"/>
          <w:color w:val="000000" w:themeColor="text1"/>
          <w:kern w:val="0"/>
          <w:sz w:val="32"/>
          <w:szCs w:val="32"/>
          <w14:textFill>
            <w14:solidFill>
              <w14:schemeClr w14:val="tx1"/>
            </w14:solidFill>
          </w14:textFill>
        </w:rPr>
        <w:t>任范</w:t>
      </w:r>
      <w:r>
        <w:rPr>
          <w:rFonts w:hint="eastAsia" w:ascii="方正仿宋_GBK" w:hAnsi="宋体" w:eastAsia="方正仿宋_GBK" w:cs="宋体"/>
          <w:color w:val="000000" w:themeColor="text1"/>
          <w:kern w:val="0"/>
          <w:sz w:val="32"/>
          <w:szCs w:val="32"/>
          <w14:textFill>
            <w14:solidFill>
              <w14:schemeClr w14:val="tx1"/>
            </w14:solidFill>
          </w14:textFill>
        </w:rPr>
        <w:t>围</w:t>
      </w:r>
      <w:r>
        <w:rPr>
          <w:rFonts w:hint="eastAsia" w:ascii="方正仿宋_GBK" w:hAnsi="MS Gothic" w:eastAsia="方正仿宋_GBK" w:cs="MS Gothic"/>
          <w:color w:val="000000" w:themeColor="text1"/>
          <w:kern w:val="0"/>
          <w:sz w:val="32"/>
          <w:szCs w:val="32"/>
          <w14:textFill>
            <w14:solidFill>
              <w14:schemeClr w14:val="tx1"/>
            </w14:solidFill>
          </w14:textFill>
        </w:rPr>
        <w:t>内的生</w:t>
      </w:r>
      <w:r>
        <w:rPr>
          <w:rFonts w:hint="eastAsia" w:ascii="方正仿宋_GBK" w:hAnsi="宋体" w:eastAsia="方正仿宋_GBK" w:cs="宋体"/>
          <w:color w:val="000000" w:themeColor="text1"/>
          <w:kern w:val="0"/>
          <w:sz w:val="32"/>
          <w:szCs w:val="32"/>
          <w14:textFill>
            <w14:solidFill>
              <w14:schemeClr w14:val="tx1"/>
            </w14:solidFill>
          </w14:textFill>
        </w:rPr>
        <w:t>产</w:t>
      </w:r>
      <w:r>
        <w:rPr>
          <w:rFonts w:hint="eastAsia" w:ascii="方正仿宋_GBK" w:hAnsi="MS Gothic" w:eastAsia="方正仿宋_GBK" w:cs="MS Gothic"/>
          <w:color w:val="000000" w:themeColor="text1"/>
          <w:kern w:val="0"/>
          <w:sz w:val="32"/>
          <w:szCs w:val="32"/>
          <w14:textFill>
            <w14:solidFill>
              <w14:schemeClr w14:val="tx1"/>
            </w14:solidFill>
          </w14:textFill>
        </w:rPr>
        <w:t>安全事故或</w:t>
      </w:r>
      <w:r>
        <w:rPr>
          <w:rFonts w:hint="eastAsia" w:ascii="方正仿宋_GBK" w:hAnsi="Arial" w:eastAsia="方正仿宋_GBK" w:cs="Arial"/>
          <w:color w:val="000000" w:themeColor="text1"/>
          <w:sz w:val="32"/>
          <w:szCs w:val="32"/>
          <w14:textFill>
            <w14:solidFill>
              <w14:schemeClr w14:val="tx1"/>
            </w14:solidFill>
          </w14:textFill>
        </w:rPr>
        <w:t>施工意外事故</w:t>
      </w:r>
      <w:r>
        <w:rPr>
          <w:rFonts w:hint="eastAsia" w:ascii="方正仿宋_GBK" w:hAnsi="宋体" w:eastAsia="方正仿宋_GBK" w:cs="宋体"/>
          <w:color w:val="000000" w:themeColor="text1"/>
          <w:kern w:val="0"/>
          <w:sz w:val="32"/>
          <w:szCs w:val="32"/>
          <w14:textFill>
            <w14:solidFill>
              <w14:schemeClr w14:val="tx1"/>
            </w14:solidFill>
          </w14:textFill>
        </w:rPr>
        <w:t>发</w:t>
      </w:r>
      <w:r>
        <w:rPr>
          <w:rFonts w:hint="eastAsia" w:ascii="方正仿宋_GBK" w:hAnsi="MS Gothic" w:eastAsia="方正仿宋_GBK" w:cs="MS Gothic"/>
          <w:color w:val="000000" w:themeColor="text1"/>
          <w:kern w:val="0"/>
          <w:sz w:val="32"/>
          <w:szCs w:val="32"/>
          <w14:textFill>
            <w14:solidFill>
              <w14:schemeClr w14:val="tx1"/>
            </w14:solidFill>
          </w14:textFill>
        </w:rPr>
        <w:t>生情况或</w:t>
      </w:r>
      <w:r>
        <w:rPr>
          <w:rFonts w:hint="eastAsia" w:ascii="方正仿宋_GBK" w:hAnsi="宋体" w:eastAsia="方正仿宋_GBK" w:cs="宋体"/>
          <w:color w:val="000000" w:themeColor="text1"/>
          <w:kern w:val="0"/>
          <w:sz w:val="32"/>
          <w:szCs w:val="32"/>
          <w14:textFill>
            <w14:solidFill>
              <w14:schemeClr w14:val="tx1"/>
            </w14:solidFill>
          </w14:textFill>
        </w:rPr>
        <w:t>损</w:t>
      </w:r>
      <w:r>
        <w:rPr>
          <w:rFonts w:hint="eastAsia" w:ascii="方正仿宋_GBK" w:hAnsi="MS Gothic" w:eastAsia="方正仿宋_GBK" w:cs="MS Gothic"/>
          <w:color w:val="000000" w:themeColor="text1"/>
          <w:kern w:val="0"/>
          <w:sz w:val="32"/>
          <w:szCs w:val="32"/>
          <w14:textFill>
            <w14:solidFill>
              <w14:schemeClr w14:val="tx1"/>
            </w14:solidFill>
          </w14:textFill>
        </w:rPr>
        <w:t>失程度，被保</w:t>
      </w:r>
      <w:r>
        <w:rPr>
          <w:rFonts w:hint="eastAsia" w:ascii="方正仿宋_GBK" w:hAnsi="宋体" w:eastAsia="方正仿宋_GBK" w:cs="宋体"/>
          <w:color w:val="000000" w:themeColor="text1"/>
          <w:kern w:val="0"/>
          <w:sz w:val="32"/>
          <w:szCs w:val="32"/>
          <w14:textFill>
            <w14:solidFill>
              <w14:schemeClr w14:val="tx1"/>
            </w14:solidFill>
          </w14:textFill>
        </w:rPr>
        <w:t>险</w:t>
      </w:r>
      <w:r>
        <w:rPr>
          <w:rFonts w:hint="eastAsia" w:ascii="方正仿宋_GBK" w:hAnsi="MS Gothic" w:eastAsia="方正仿宋_GBK" w:cs="MS Gothic"/>
          <w:color w:val="000000" w:themeColor="text1"/>
          <w:kern w:val="0"/>
          <w:sz w:val="32"/>
          <w:szCs w:val="32"/>
          <w14:textFill>
            <w14:solidFill>
              <w14:schemeClr w14:val="tx1"/>
            </w14:solidFill>
          </w14:textFill>
        </w:rPr>
        <w:t>人聘</w:t>
      </w:r>
      <w:r>
        <w:rPr>
          <w:rFonts w:hint="eastAsia" w:ascii="方正仿宋_GBK" w:hAnsi="宋体" w:eastAsia="方正仿宋_GBK" w:cs="宋体"/>
          <w:color w:val="000000" w:themeColor="text1"/>
          <w:kern w:val="0"/>
          <w:sz w:val="32"/>
          <w:szCs w:val="32"/>
          <w14:textFill>
            <w14:solidFill>
              <w14:schemeClr w14:val="tx1"/>
            </w14:solidFill>
          </w14:textFill>
        </w:rPr>
        <w:t>请</w:t>
      </w:r>
      <w:r>
        <w:rPr>
          <w:rFonts w:hint="eastAsia" w:ascii="方正仿宋_GBK" w:hAnsi="MS Gothic" w:eastAsia="方正仿宋_GBK" w:cs="MS Gothic"/>
          <w:color w:val="000000" w:themeColor="text1"/>
          <w:kern w:val="0"/>
          <w:sz w:val="32"/>
          <w:szCs w:val="32"/>
          <w14:textFill>
            <w14:solidFill>
              <w14:schemeClr w14:val="tx1"/>
            </w14:solidFill>
          </w14:textFill>
        </w:rPr>
        <w:t>具</w:t>
      </w:r>
      <w:r>
        <w:rPr>
          <w:rFonts w:hint="eastAsia" w:ascii="方正仿宋_GBK" w:hAnsi="宋体" w:eastAsia="方正仿宋_GBK" w:cs="宋体"/>
          <w:color w:val="000000" w:themeColor="text1"/>
          <w:kern w:val="0"/>
          <w:sz w:val="32"/>
          <w:szCs w:val="32"/>
          <w14:textFill>
            <w14:solidFill>
              <w14:schemeClr w14:val="tx1"/>
            </w14:solidFill>
          </w14:textFill>
        </w:rPr>
        <w:t>备资质</w:t>
      </w:r>
      <w:r>
        <w:rPr>
          <w:rFonts w:hint="eastAsia" w:ascii="方正仿宋_GBK" w:hAnsi="MS Gothic" w:eastAsia="方正仿宋_GBK" w:cs="MS Gothic"/>
          <w:color w:val="000000" w:themeColor="text1"/>
          <w:kern w:val="0"/>
          <w:sz w:val="32"/>
          <w:szCs w:val="32"/>
          <w14:textFill>
            <w14:solidFill>
              <w14:schemeClr w14:val="tx1"/>
            </w14:solidFill>
          </w14:textFill>
        </w:rPr>
        <w:t>的</w:t>
      </w:r>
      <w:r>
        <w:rPr>
          <w:rFonts w:hint="eastAsia" w:ascii="方正仿宋_GBK" w:hAnsi="宋体" w:eastAsia="方正仿宋_GBK" w:cs="宋体"/>
          <w:color w:val="000000" w:themeColor="text1"/>
          <w:kern w:val="0"/>
          <w:sz w:val="32"/>
          <w:szCs w:val="32"/>
          <w14:textFill>
            <w14:solidFill>
              <w14:schemeClr w14:val="tx1"/>
            </w14:solidFill>
          </w14:textFill>
        </w:rPr>
        <w:t>专业</w:t>
      </w:r>
      <w:r>
        <w:rPr>
          <w:rFonts w:hint="eastAsia" w:ascii="方正仿宋_GBK" w:hAnsi="MS Gothic" w:eastAsia="方正仿宋_GBK" w:cs="MS Gothic"/>
          <w:color w:val="000000" w:themeColor="text1"/>
          <w:kern w:val="0"/>
          <w:sz w:val="32"/>
          <w:szCs w:val="32"/>
          <w14:textFill>
            <w14:solidFill>
              <w14:schemeClr w14:val="tx1"/>
            </w14:solidFill>
          </w14:textFill>
        </w:rPr>
        <w:t>机构</w:t>
      </w:r>
      <w:r>
        <w:rPr>
          <w:rFonts w:hint="eastAsia" w:ascii="方正仿宋_GBK" w:eastAsia="方正仿宋_GBK" w:cs="HiddenHorzOCR"/>
          <w:color w:val="000000" w:themeColor="text1"/>
          <w:kern w:val="0"/>
          <w:sz w:val="32"/>
          <w:szCs w:val="32"/>
          <w14:textFill>
            <w14:solidFill>
              <w14:schemeClr w14:val="tx1"/>
            </w14:solidFill>
          </w14:textFill>
        </w:rPr>
        <w:t>（部</w:t>
      </w:r>
      <w:r>
        <w:rPr>
          <w:rFonts w:hint="eastAsia" w:ascii="方正仿宋_GBK" w:hAnsi="宋体" w:eastAsia="方正仿宋_GBK" w:cs="宋体"/>
          <w:color w:val="000000" w:themeColor="text1"/>
          <w:kern w:val="0"/>
          <w:sz w:val="32"/>
          <w:szCs w:val="32"/>
          <w14:textFill>
            <w14:solidFill>
              <w14:schemeClr w14:val="tx1"/>
            </w14:solidFill>
          </w14:textFill>
        </w:rPr>
        <w:t>门</w:t>
      </w:r>
      <w:r>
        <w:rPr>
          <w:rFonts w:hint="eastAsia" w:ascii="方正仿宋_GBK" w:eastAsia="方正仿宋_GBK" w:cs="HiddenHorzOCR"/>
          <w:color w:val="000000" w:themeColor="text1"/>
          <w:kern w:val="0"/>
          <w:sz w:val="32"/>
          <w:szCs w:val="32"/>
          <w14:textFill>
            <w14:solidFill>
              <w14:schemeClr w14:val="tx1"/>
            </w14:solidFill>
          </w14:textFill>
        </w:rPr>
        <w:t>）</w:t>
      </w:r>
      <w:r>
        <w:rPr>
          <w:rFonts w:hint="eastAsia" w:ascii="方正仿宋_GBK" w:hAnsi="宋体" w:eastAsia="方正仿宋_GBK" w:cs="宋体"/>
          <w:color w:val="000000" w:themeColor="text1"/>
          <w:kern w:val="0"/>
          <w:sz w:val="32"/>
          <w:szCs w:val="32"/>
          <w14:textFill>
            <w14:solidFill>
              <w14:schemeClr w14:val="tx1"/>
            </w14:solidFill>
          </w14:textFill>
        </w:rPr>
        <w:t>进</w:t>
      </w:r>
      <w:r>
        <w:rPr>
          <w:rFonts w:hint="eastAsia" w:ascii="方正仿宋_GBK" w:hAnsi="MS Gothic" w:eastAsia="方正仿宋_GBK" w:cs="MS Gothic"/>
          <w:color w:val="000000" w:themeColor="text1"/>
          <w:kern w:val="0"/>
          <w:sz w:val="32"/>
          <w:szCs w:val="32"/>
          <w14:textFill>
            <w14:solidFill>
              <w14:schemeClr w14:val="tx1"/>
            </w14:solidFill>
          </w14:textFill>
        </w:rPr>
        <w:t>行</w:t>
      </w:r>
      <w:r>
        <w:rPr>
          <w:rFonts w:hint="eastAsia" w:ascii="方正仿宋_GBK" w:hAnsi="宋体" w:eastAsia="方正仿宋_GBK" w:cs="宋体"/>
          <w:color w:val="000000" w:themeColor="text1"/>
          <w:kern w:val="0"/>
          <w:sz w:val="32"/>
          <w:szCs w:val="32"/>
          <w14:textFill>
            <w14:solidFill>
              <w14:schemeClr w14:val="tx1"/>
            </w14:solidFill>
          </w14:textFill>
        </w:rPr>
        <w:t>检测</w:t>
      </w:r>
      <w:r>
        <w:rPr>
          <w:rFonts w:hint="eastAsia" w:ascii="方正仿宋_GBK" w:hAnsi="MS Gothic" w:eastAsia="方正仿宋_GBK" w:cs="MS Gothic"/>
          <w:color w:val="000000" w:themeColor="text1"/>
          <w:kern w:val="0"/>
          <w:sz w:val="32"/>
          <w:szCs w:val="32"/>
          <w14:textFill>
            <w14:solidFill>
              <w14:schemeClr w14:val="tx1"/>
            </w14:solidFill>
          </w14:textFill>
        </w:rPr>
        <w:t>、</w:t>
      </w:r>
      <w:r>
        <w:rPr>
          <w:rFonts w:hint="eastAsia" w:ascii="方正仿宋_GBK" w:hAnsi="宋体" w:eastAsia="方正仿宋_GBK" w:cs="宋体"/>
          <w:color w:val="000000" w:themeColor="text1"/>
          <w:kern w:val="0"/>
          <w:sz w:val="32"/>
          <w:szCs w:val="32"/>
          <w14:textFill>
            <w14:solidFill>
              <w14:schemeClr w14:val="tx1"/>
            </w14:solidFill>
          </w14:textFill>
        </w:rPr>
        <w:t>评</w:t>
      </w:r>
      <w:r>
        <w:rPr>
          <w:rFonts w:hint="eastAsia" w:ascii="方正仿宋_GBK" w:hAnsi="MS Gothic" w:eastAsia="方正仿宋_GBK" w:cs="MS Gothic"/>
          <w:color w:val="000000" w:themeColor="text1"/>
          <w:kern w:val="0"/>
          <w:sz w:val="32"/>
          <w:szCs w:val="32"/>
          <w14:textFill>
            <w14:solidFill>
              <w14:schemeClr w14:val="tx1"/>
            </w14:solidFill>
          </w14:textFill>
        </w:rPr>
        <w:t>估</w:t>
      </w:r>
      <w:r>
        <w:rPr>
          <w:rFonts w:hint="eastAsia" w:ascii="方正仿宋_GBK" w:eastAsia="方正仿宋_GBK" w:cs="HiddenHorzOCR"/>
          <w:color w:val="000000" w:themeColor="text1"/>
          <w:kern w:val="0"/>
          <w:sz w:val="32"/>
          <w:szCs w:val="32"/>
          <w14:textFill>
            <w14:solidFill>
              <w14:schemeClr w14:val="tx1"/>
            </w14:solidFill>
          </w14:textFill>
        </w:rPr>
        <w:t>（</w:t>
      </w:r>
      <w:r>
        <w:rPr>
          <w:rFonts w:hint="eastAsia" w:ascii="方正仿宋_GBK" w:hAnsi="宋体" w:eastAsia="方正仿宋_GBK" w:cs="宋体"/>
          <w:color w:val="000000" w:themeColor="text1"/>
          <w:kern w:val="0"/>
          <w:sz w:val="32"/>
          <w:szCs w:val="32"/>
          <w14:textFill>
            <w14:solidFill>
              <w14:schemeClr w14:val="tx1"/>
            </w14:solidFill>
          </w14:textFill>
        </w:rPr>
        <w:t>评</w:t>
      </w:r>
      <w:r>
        <w:rPr>
          <w:rFonts w:hint="eastAsia" w:ascii="方正仿宋_GBK" w:hAnsi="MS Gothic" w:eastAsia="方正仿宋_GBK" w:cs="MS Gothic"/>
          <w:color w:val="000000" w:themeColor="text1"/>
          <w:kern w:val="0"/>
          <w:sz w:val="32"/>
          <w:szCs w:val="32"/>
          <w14:textFill>
            <w14:solidFill>
              <w14:schemeClr w14:val="tx1"/>
            </w14:solidFill>
          </w14:textFill>
        </w:rPr>
        <w:t>价</w:t>
      </w:r>
      <w:r>
        <w:rPr>
          <w:rFonts w:hint="eastAsia" w:ascii="方正仿宋_GBK" w:eastAsia="方正仿宋_GBK" w:cs="HiddenHorzOCR"/>
          <w:color w:val="000000" w:themeColor="text1"/>
          <w:kern w:val="0"/>
          <w:sz w:val="32"/>
          <w:szCs w:val="32"/>
          <w14:textFill>
            <w14:solidFill>
              <w14:schemeClr w14:val="tx1"/>
            </w14:solidFill>
          </w14:textFill>
        </w:rPr>
        <w:t>）、</w:t>
      </w:r>
      <w:r>
        <w:rPr>
          <w:rFonts w:hint="eastAsia" w:ascii="方正仿宋_GBK" w:hAnsi="宋体" w:eastAsia="方正仿宋_GBK" w:cs="宋体"/>
          <w:color w:val="000000" w:themeColor="text1"/>
          <w:kern w:val="0"/>
          <w:sz w:val="32"/>
          <w:szCs w:val="32"/>
          <w14:textFill>
            <w14:solidFill>
              <w14:schemeClr w14:val="tx1"/>
            </w14:solidFill>
          </w14:textFill>
        </w:rPr>
        <w:t>鉴</w:t>
      </w:r>
      <w:r>
        <w:rPr>
          <w:rFonts w:hint="eastAsia" w:ascii="方正仿宋_GBK" w:hAnsi="MS Gothic" w:eastAsia="方正仿宋_GBK" w:cs="MS Gothic"/>
          <w:color w:val="000000" w:themeColor="text1"/>
          <w:kern w:val="0"/>
          <w:sz w:val="32"/>
          <w:szCs w:val="32"/>
          <w14:textFill>
            <w14:solidFill>
              <w14:schemeClr w14:val="tx1"/>
            </w14:solidFill>
          </w14:textFill>
        </w:rPr>
        <w:t>定，并出具有法定</w:t>
      </w:r>
      <w:r>
        <w:rPr>
          <w:rFonts w:hint="eastAsia" w:ascii="方正仿宋_GBK" w:hAnsi="宋体" w:eastAsia="方正仿宋_GBK" w:cs="宋体"/>
          <w:color w:val="000000" w:themeColor="text1"/>
          <w:kern w:val="0"/>
          <w:sz w:val="32"/>
          <w:szCs w:val="32"/>
          <w14:textFill>
            <w14:solidFill>
              <w14:schemeClr w14:val="tx1"/>
            </w14:solidFill>
          </w14:textFill>
        </w:rPr>
        <w:t>证</w:t>
      </w:r>
      <w:r>
        <w:rPr>
          <w:rFonts w:hint="eastAsia" w:ascii="方正仿宋_GBK" w:hAnsi="MS Gothic" w:eastAsia="方正仿宋_GBK" w:cs="MS Gothic"/>
          <w:color w:val="000000" w:themeColor="text1"/>
          <w:kern w:val="0"/>
          <w:sz w:val="32"/>
          <w:szCs w:val="32"/>
          <w14:textFill>
            <w14:solidFill>
              <w14:schemeClr w14:val="tx1"/>
            </w14:solidFill>
          </w14:textFill>
        </w:rPr>
        <w:t>明效力</w:t>
      </w:r>
      <w:r>
        <w:rPr>
          <w:rFonts w:hint="eastAsia" w:ascii="方正仿宋_GBK" w:hAnsi="宋体" w:eastAsia="方正仿宋_GBK" w:cs="宋体"/>
          <w:color w:val="000000" w:themeColor="text1"/>
          <w:kern w:val="0"/>
          <w:sz w:val="32"/>
          <w:szCs w:val="32"/>
          <w14:textFill>
            <w14:solidFill>
              <w14:schemeClr w14:val="tx1"/>
            </w14:solidFill>
          </w14:textFill>
        </w:rPr>
        <w:t>鉴</w:t>
      </w:r>
      <w:r>
        <w:rPr>
          <w:rFonts w:hint="eastAsia" w:ascii="方正仿宋_GBK" w:hAnsi="MS Gothic" w:eastAsia="方正仿宋_GBK" w:cs="MS Gothic"/>
          <w:color w:val="000000" w:themeColor="text1"/>
          <w:kern w:val="0"/>
          <w:sz w:val="32"/>
          <w:szCs w:val="32"/>
          <w14:textFill>
            <w14:solidFill>
              <w14:schemeClr w14:val="tx1"/>
            </w14:solidFill>
          </w14:textFill>
        </w:rPr>
        <w:t>定</w:t>
      </w:r>
      <w:r>
        <w:rPr>
          <w:rFonts w:hint="eastAsia" w:ascii="方正仿宋_GBK" w:hAnsi="宋体" w:eastAsia="方正仿宋_GBK" w:cs="宋体"/>
          <w:color w:val="000000" w:themeColor="text1"/>
          <w:kern w:val="0"/>
          <w:sz w:val="32"/>
          <w:szCs w:val="32"/>
          <w14:textFill>
            <w14:solidFill>
              <w14:schemeClr w14:val="tx1"/>
            </w14:solidFill>
          </w14:textFill>
        </w:rPr>
        <w:t>报</w:t>
      </w:r>
      <w:r>
        <w:rPr>
          <w:rFonts w:hint="eastAsia" w:ascii="方正仿宋_GBK" w:eastAsia="方正仿宋_GBK" w:cs="HiddenHorzOCR"/>
          <w:color w:val="000000" w:themeColor="text1"/>
          <w:kern w:val="0"/>
          <w:sz w:val="32"/>
          <w:szCs w:val="32"/>
          <w14:textFill>
            <w14:solidFill>
              <w14:schemeClr w14:val="tx1"/>
            </w14:solidFill>
          </w14:textFill>
        </w:rPr>
        <w:t>告所</w:t>
      </w:r>
      <w:r>
        <w:rPr>
          <w:rFonts w:hint="eastAsia" w:ascii="方正仿宋_GBK" w:hAnsi="宋体" w:eastAsia="方正仿宋_GBK" w:cs="宋体"/>
          <w:color w:val="000000" w:themeColor="text1"/>
          <w:kern w:val="0"/>
          <w:sz w:val="32"/>
          <w:szCs w:val="32"/>
          <w14:textFill>
            <w14:solidFill>
              <w14:schemeClr w14:val="tx1"/>
            </w14:solidFill>
          </w14:textFill>
        </w:rPr>
        <w:t>发</w:t>
      </w:r>
      <w:r>
        <w:rPr>
          <w:rFonts w:hint="eastAsia" w:ascii="方正仿宋_GBK" w:hAnsi="MS Gothic" w:eastAsia="方正仿宋_GBK" w:cs="MS Gothic"/>
          <w:color w:val="000000" w:themeColor="text1"/>
          <w:kern w:val="0"/>
          <w:sz w:val="32"/>
          <w:szCs w:val="32"/>
          <w14:textFill>
            <w14:solidFill>
              <w14:schemeClr w14:val="tx1"/>
            </w14:solidFill>
          </w14:textFill>
        </w:rPr>
        <w:t>生的</w:t>
      </w:r>
      <w:r>
        <w:rPr>
          <w:rFonts w:hint="eastAsia" w:ascii="方正仿宋_GBK" w:hAnsi="宋体" w:eastAsia="方正仿宋_GBK" w:cs="宋体"/>
          <w:color w:val="000000" w:themeColor="text1"/>
          <w:kern w:val="0"/>
          <w:sz w:val="32"/>
          <w:szCs w:val="32"/>
          <w14:textFill>
            <w14:solidFill>
              <w14:schemeClr w14:val="tx1"/>
            </w14:solidFill>
          </w14:textFill>
        </w:rPr>
        <w:t>应</w:t>
      </w:r>
      <w:r>
        <w:rPr>
          <w:rFonts w:hint="eastAsia" w:ascii="方正仿宋_GBK" w:hAnsi="MS Gothic" w:eastAsia="方正仿宋_GBK" w:cs="MS Gothic"/>
          <w:color w:val="000000" w:themeColor="text1"/>
          <w:kern w:val="0"/>
          <w:sz w:val="32"/>
          <w:szCs w:val="32"/>
          <w14:textFill>
            <w14:solidFill>
              <w14:schemeClr w14:val="tx1"/>
            </w14:solidFill>
          </w14:textFill>
        </w:rPr>
        <w:t>由被保</w:t>
      </w:r>
      <w:r>
        <w:rPr>
          <w:rFonts w:hint="eastAsia" w:ascii="方正仿宋_GBK" w:hAnsi="宋体" w:eastAsia="方正仿宋_GBK" w:cs="宋体"/>
          <w:color w:val="000000" w:themeColor="text1"/>
          <w:kern w:val="0"/>
          <w:sz w:val="32"/>
          <w:szCs w:val="32"/>
          <w14:textFill>
            <w14:solidFill>
              <w14:schemeClr w14:val="tx1"/>
            </w14:solidFill>
          </w14:textFill>
        </w:rPr>
        <w:t>险</w:t>
      </w:r>
      <w:r>
        <w:rPr>
          <w:rFonts w:hint="eastAsia" w:ascii="方正仿宋_GBK" w:hAnsi="MS Gothic" w:eastAsia="方正仿宋_GBK" w:cs="MS Gothic"/>
          <w:color w:val="000000" w:themeColor="text1"/>
          <w:kern w:val="0"/>
          <w:sz w:val="32"/>
          <w:szCs w:val="32"/>
          <w14:textFill>
            <w14:solidFill>
              <w14:schemeClr w14:val="tx1"/>
            </w14:solidFill>
          </w14:textFill>
        </w:rPr>
        <w:t>人承担的</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hAnsi="MS Gothic" w:eastAsia="方正仿宋_GBK" w:cs="MS Gothic"/>
          <w:color w:val="000000" w:themeColor="text1"/>
          <w:kern w:val="0"/>
          <w:sz w:val="32"/>
          <w:szCs w:val="32"/>
          <w14:textFill>
            <w14:solidFill>
              <w14:schemeClr w14:val="tx1"/>
            </w14:solidFill>
          </w14:textFill>
        </w:rPr>
        <w:t>用，包括但不限于医学</w:t>
      </w:r>
      <w:r>
        <w:rPr>
          <w:rFonts w:hint="eastAsia" w:ascii="方正仿宋_GBK" w:hAnsi="宋体" w:eastAsia="方正仿宋_GBK" w:cs="宋体"/>
          <w:color w:val="000000" w:themeColor="text1"/>
          <w:kern w:val="0"/>
          <w:sz w:val="32"/>
          <w:szCs w:val="32"/>
          <w14:textFill>
            <w14:solidFill>
              <w14:schemeClr w14:val="tx1"/>
            </w14:solidFill>
          </w14:textFill>
        </w:rPr>
        <w:t>鉴</w:t>
      </w:r>
      <w:r>
        <w:rPr>
          <w:rFonts w:hint="eastAsia" w:ascii="方正仿宋_GBK" w:hAnsi="MS Gothic" w:eastAsia="方正仿宋_GBK" w:cs="MS Gothic"/>
          <w:color w:val="000000" w:themeColor="text1"/>
          <w:kern w:val="0"/>
          <w:sz w:val="32"/>
          <w:szCs w:val="32"/>
          <w14:textFill>
            <w14:solidFill>
              <w14:schemeClr w14:val="tx1"/>
            </w14:solidFill>
          </w14:textFill>
        </w:rPr>
        <w:t>定</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eastAsia="方正仿宋_GBK" w:cs="HiddenHorzOCR"/>
          <w:color w:val="000000" w:themeColor="text1"/>
          <w:kern w:val="0"/>
          <w:sz w:val="32"/>
          <w:szCs w:val="32"/>
          <w14:textFill>
            <w14:solidFill>
              <w14:schemeClr w14:val="tx1"/>
            </w14:solidFill>
          </w14:textFill>
        </w:rPr>
        <w:t>用，如法医</w:t>
      </w:r>
      <w:r>
        <w:rPr>
          <w:rFonts w:hint="eastAsia" w:ascii="方正仿宋_GBK" w:hAnsi="宋体" w:eastAsia="方正仿宋_GBK" w:cs="宋体"/>
          <w:color w:val="000000" w:themeColor="text1"/>
          <w:kern w:val="0"/>
          <w:sz w:val="32"/>
          <w:szCs w:val="32"/>
          <w14:textFill>
            <w14:solidFill>
              <w14:schemeClr w14:val="tx1"/>
            </w14:solidFill>
          </w14:textFill>
        </w:rPr>
        <w:t>鉴</w:t>
      </w:r>
      <w:r>
        <w:rPr>
          <w:rFonts w:hint="eastAsia" w:ascii="方正仿宋_GBK" w:hAnsi="MS Gothic" w:eastAsia="方正仿宋_GBK" w:cs="MS Gothic"/>
          <w:color w:val="000000" w:themeColor="text1"/>
          <w:kern w:val="0"/>
          <w:sz w:val="32"/>
          <w:szCs w:val="32"/>
          <w14:textFill>
            <w14:solidFill>
              <w14:schemeClr w14:val="tx1"/>
            </w14:solidFill>
          </w14:textFill>
        </w:rPr>
        <w:t>定，公安</w:t>
      </w:r>
      <w:r>
        <w:rPr>
          <w:rFonts w:hint="eastAsia" w:ascii="方正仿宋_GBK" w:eastAsia="方正仿宋_GBK" w:cs="HiddenHorzOCR"/>
          <w:color w:val="000000" w:themeColor="text1"/>
          <w:kern w:val="0"/>
          <w:sz w:val="32"/>
          <w:szCs w:val="32"/>
          <w14:textFill>
            <w14:solidFill>
              <w14:schemeClr w14:val="tx1"/>
            </w14:solidFill>
          </w14:textFill>
        </w:rPr>
        <w:t xml:space="preserve">DNA </w:t>
      </w:r>
      <w:r>
        <w:rPr>
          <w:rFonts w:hint="eastAsia" w:ascii="方正仿宋_GBK" w:hAnsi="宋体" w:eastAsia="方正仿宋_GBK" w:cs="宋体"/>
          <w:color w:val="000000" w:themeColor="text1"/>
          <w:kern w:val="0"/>
          <w:sz w:val="32"/>
          <w:szCs w:val="32"/>
          <w14:textFill>
            <w14:solidFill>
              <w14:schemeClr w14:val="tx1"/>
            </w14:solidFill>
          </w14:textFill>
        </w:rPr>
        <w:t>鉴</w:t>
      </w:r>
      <w:r>
        <w:rPr>
          <w:rFonts w:hint="eastAsia" w:ascii="方正仿宋_GBK" w:hAnsi="MS Gothic" w:eastAsia="方正仿宋_GBK" w:cs="MS Gothic"/>
          <w:color w:val="000000" w:themeColor="text1"/>
          <w:kern w:val="0"/>
          <w:sz w:val="32"/>
          <w:szCs w:val="32"/>
          <w14:textFill>
            <w14:solidFill>
              <w14:schemeClr w14:val="tx1"/>
            </w14:solidFill>
          </w14:textFill>
        </w:rPr>
        <w:t>定等。</w:t>
      </w:r>
    </w:p>
    <w:p>
      <w:pPr>
        <w:autoSpaceDE w:val="0"/>
        <w:autoSpaceDN w:val="0"/>
        <w:adjustRightInd w:val="0"/>
        <w:spacing w:line="580" w:lineRule="exact"/>
        <w:ind w:firstLine="640" w:firstLineChars="200"/>
        <w:rPr>
          <w:rFonts w:ascii="方正仿宋_GBK" w:eastAsia="方正仿宋_GBK" w:cs="HiddenHorzOCR"/>
          <w:color w:val="000000" w:themeColor="text1"/>
          <w:kern w:val="0"/>
          <w:sz w:val="32"/>
          <w:szCs w:val="32"/>
          <w14:textFill>
            <w14:solidFill>
              <w14:schemeClr w14:val="tx1"/>
            </w14:solidFill>
          </w14:textFill>
        </w:rPr>
      </w:pPr>
      <w:r>
        <w:rPr>
          <w:rFonts w:hint="eastAsia" w:ascii="方正仿宋_GBK" w:eastAsia="方正仿宋_GBK" w:cs="HiddenHorzOCR"/>
          <w:color w:val="000000" w:themeColor="text1"/>
          <w:kern w:val="0"/>
          <w:sz w:val="32"/>
          <w:szCs w:val="32"/>
          <w14:textFill>
            <w14:solidFill>
              <w14:schemeClr w14:val="tx1"/>
            </w14:solidFill>
          </w14:textFill>
        </w:rPr>
        <w:t>1</w:t>
      </w:r>
      <w:r>
        <w:rPr>
          <w:rFonts w:ascii="方正仿宋_GBK" w:eastAsia="方正仿宋_GBK" w:cs="HiddenHorzOCR"/>
          <w:color w:val="000000" w:themeColor="text1"/>
          <w:kern w:val="0"/>
          <w:sz w:val="32"/>
          <w:szCs w:val="32"/>
          <w14:textFill>
            <w14:solidFill>
              <w14:schemeClr w14:val="tx1"/>
            </w14:solidFill>
          </w14:textFill>
        </w:rPr>
        <w:t>3</w:t>
      </w:r>
      <w:r>
        <w:rPr>
          <w:rFonts w:hint="eastAsia" w:ascii="方正仿宋_GBK" w:eastAsia="方正仿宋_GBK" w:cs="HiddenHorzOCR"/>
          <w:color w:val="000000" w:themeColor="text1"/>
          <w:kern w:val="0"/>
          <w:sz w:val="32"/>
          <w:szCs w:val="32"/>
          <w14:textFill>
            <w14:solidFill>
              <w14:schemeClr w14:val="tx1"/>
            </w14:solidFill>
          </w14:textFill>
        </w:rPr>
        <w:t>.法律</w:t>
      </w:r>
      <w:r>
        <w:rPr>
          <w:rFonts w:hint="eastAsia" w:ascii="方正仿宋_GBK" w:hAnsi="宋体" w:eastAsia="方正仿宋_GBK" w:cs="宋体"/>
          <w:color w:val="000000" w:themeColor="text1"/>
          <w:kern w:val="0"/>
          <w:sz w:val="32"/>
          <w:szCs w:val="32"/>
          <w14:textFill>
            <w14:solidFill>
              <w14:schemeClr w14:val="tx1"/>
            </w14:solidFill>
          </w14:textFill>
        </w:rPr>
        <w:t>诉讼费</w:t>
      </w:r>
      <w:r>
        <w:rPr>
          <w:rFonts w:hint="eastAsia" w:ascii="方正仿宋_GBK" w:hAnsi="MS Gothic" w:eastAsia="方正仿宋_GBK" w:cs="MS Gothic"/>
          <w:color w:val="000000" w:themeColor="text1"/>
          <w:kern w:val="0"/>
          <w:sz w:val="32"/>
          <w:szCs w:val="32"/>
          <w14:textFill>
            <w14:solidFill>
              <w14:schemeClr w14:val="tx1"/>
            </w14:solidFill>
          </w14:textFill>
        </w:rPr>
        <w:t>用</w:t>
      </w:r>
      <w:r>
        <w:rPr>
          <w:rFonts w:hint="eastAsia" w:ascii="方正仿宋_GBK" w:eastAsia="方正仿宋_GBK" w:cs="HiddenHorzOCR"/>
          <w:color w:val="000000" w:themeColor="text1"/>
          <w:kern w:val="0"/>
          <w:sz w:val="32"/>
          <w:szCs w:val="32"/>
          <w14:textFill>
            <w14:solidFill>
              <w14:schemeClr w14:val="tx1"/>
            </w14:solidFill>
          </w14:textFill>
        </w:rPr>
        <w:t>：是指被保</w:t>
      </w:r>
      <w:r>
        <w:rPr>
          <w:rFonts w:hint="eastAsia" w:ascii="方正仿宋_GBK" w:hAnsi="宋体" w:eastAsia="方正仿宋_GBK" w:cs="宋体"/>
          <w:color w:val="000000" w:themeColor="text1"/>
          <w:kern w:val="0"/>
          <w:sz w:val="32"/>
          <w:szCs w:val="32"/>
          <w14:textFill>
            <w14:solidFill>
              <w14:schemeClr w14:val="tx1"/>
            </w14:solidFill>
          </w14:textFill>
        </w:rPr>
        <w:t>险</w:t>
      </w:r>
      <w:r>
        <w:rPr>
          <w:rFonts w:hint="eastAsia" w:ascii="方正仿宋_GBK" w:hAnsi="MS Gothic" w:eastAsia="方正仿宋_GBK" w:cs="MS Gothic"/>
          <w:color w:val="000000" w:themeColor="text1"/>
          <w:kern w:val="0"/>
          <w:sz w:val="32"/>
          <w:szCs w:val="32"/>
          <w14:textFill>
            <w14:solidFill>
              <w14:schemeClr w14:val="tx1"/>
            </w14:solidFill>
          </w14:textFill>
        </w:rPr>
        <w:t>人因保</w:t>
      </w:r>
      <w:r>
        <w:rPr>
          <w:rFonts w:hint="eastAsia" w:ascii="方正仿宋_GBK" w:hAnsi="宋体" w:eastAsia="方正仿宋_GBK" w:cs="宋体"/>
          <w:color w:val="000000" w:themeColor="text1"/>
          <w:kern w:val="0"/>
          <w:sz w:val="32"/>
          <w:szCs w:val="32"/>
          <w14:textFill>
            <w14:solidFill>
              <w14:schemeClr w14:val="tx1"/>
            </w14:solidFill>
          </w14:textFill>
        </w:rPr>
        <w:t>险责</w:t>
      </w:r>
      <w:r>
        <w:rPr>
          <w:rFonts w:hint="eastAsia" w:ascii="方正仿宋_GBK" w:hAnsi="MS Gothic" w:eastAsia="方正仿宋_GBK" w:cs="MS Gothic"/>
          <w:color w:val="000000" w:themeColor="text1"/>
          <w:kern w:val="0"/>
          <w:sz w:val="32"/>
          <w:szCs w:val="32"/>
          <w14:textFill>
            <w14:solidFill>
              <w14:schemeClr w14:val="tx1"/>
            </w14:solidFill>
          </w14:textFill>
        </w:rPr>
        <w:t>任范</w:t>
      </w:r>
      <w:r>
        <w:rPr>
          <w:rFonts w:hint="eastAsia" w:ascii="方正仿宋_GBK" w:hAnsi="宋体" w:eastAsia="方正仿宋_GBK" w:cs="宋体"/>
          <w:color w:val="000000" w:themeColor="text1"/>
          <w:kern w:val="0"/>
          <w:sz w:val="32"/>
          <w:szCs w:val="32"/>
          <w14:textFill>
            <w14:solidFill>
              <w14:schemeClr w14:val="tx1"/>
            </w14:solidFill>
          </w14:textFill>
        </w:rPr>
        <w:t>围</w:t>
      </w:r>
      <w:r>
        <w:rPr>
          <w:rFonts w:hint="eastAsia" w:ascii="方正仿宋_GBK" w:eastAsia="方正仿宋_GBK" w:cs="HiddenHorzOCR"/>
          <w:color w:val="000000" w:themeColor="text1"/>
          <w:kern w:val="0"/>
          <w:sz w:val="32"/>
          <w:szCs w:val="32"/>
          <w14:textFill>
            <w14:solidFill>
              <w14:schemeClr w14:val="tx1"/>
            </w14:solidFill>
          </w14:textFill>
        </w:rPr>
        <w:t>内的生</w:t>
      </w:r>
      <w:r>
        <w:rPr>
          <w:rFonts w:hint="eastAsia" w:ascii="方正仿宋_GBK" w:hAnsi="宋体" w:eastAsia="方正仿宋_GBK" w:cs="宋体"/>
          <w:color w:val="000000" w:themeColor="text1"/>
          <w:kern w:val="0"/>
          <w:sz w:val="32"/>
          <w:szCs w:val="32"/>
          <w14:textFill>
            <w14:solidFill>
              <w14:schemeClr w14:val="tx1"/>
            </w14:solidFill>
          </w14:textFill>
        </w:rPr>
        <w:t>产</w:t>
      </w:r>
      <w:r>
        <w:rPr>
          <w:rFonts w:hint="eastAsia" w:ascii="方正仿宋_GBK" w:hAnsi="MS Gothic" w:eastAsia="方正仿宋_GBK" w:cs="MS Gothic"/>
          <w:color w:val="000000" w:themeColor="text1"/>
          <w:kern w:val="0"/>
          <w:sz w:val="32"/>
          <w:szCs w:val="32"/>
          <w14:textFill>
            <w14:solidFill>
              <w14:schemeClr w14:val="tx1"/>
            </w14:solidFill>
          </w14:textFill>
        </w:rPr>
        <w:t>安全</w:t>
      </w:r>
      <w:r>
        <w:rPr>
          <w:rFonts w:hint="eastAsia" w:ascii="方正仿宋_GBK" w:eastAsia="方正仿宋_GBK" w:cs="HiddenHorzOCR"/>
          <w:color w:val="000000" w:themeColor="text1"/>
          <w:kern w:val="0"/>
          <w:sz w:val="32"/>
          <w:szCs w:val="32"/>
          <w14:textFill>
            <w14:solidFill>
              <w14:schemeClr w14:val="tx1"/>
            </w14:solidFill>
          </w14:textFill>
        </w:rPr>
        <w:t>事故</w:t>
      </w:r>
      <w:r>
        <w:rPr>
          <w:rFonts w:hint="eastAsia" w:ascii="方正仿宋_GBK" w:hAnsi="MS Gothic" w:eastAsia="方正仿宋_GBK" w:cs="MS Gothic"/>
          <w:color w:val="000000" w:themeColor="text1"/>
          <w:kern w:val="0"/>
          <w:sz w:val="32"/>
          <w:szCs w:val="32"/>
          <w14:textFill>
            <w14:solidFill>
              <w14:schemeClr w14:val="tx1"/>
            </w14:solidFill>
          </w14:textFill>
        </w:rPr>
        <w:t>或</w:t>
      </w:r>
      <w:r>
        <w:rPr>
          <w:rFonts w:hint="eastAsia" w:ascii="方正仿宋_GBK" w:hAnsi="Arial" w:eastAsia="方正仿宋_GBK" w:cs="Arial"/>
          <w:color w:val="000000" w:themeColor="text1"/>
          <w:sz w:val="32"/>
          <w:szCs w:val="32"/>
          <w14:textFill>
            <w14:solidFill>
              <w14:schemeClr w14:val="tx1"/>
            </w14:solidFill>
          </w14:textFill>
        </w:rPr>
        <w:t>施工意外事故</w:t>
      </w:r>
      <w:r>
        <w:rPr>
          <w:rFonts w:hint="eastAsia" w:ascii="方正仿宋_GBK" w:eastAsia="方正仿宋_GBK" w:cs="HiddenHorzOCR"/>
          <w:color w:val="000000" w:themeColor="text1"/>
          <w:kern w:val="0"/>
          <w:sz w:val="32"/>
          <w:szCs w:val="32"/>
          <w14:textFill>
            <w14:solidFill>
              <w14:schemeClr w14:val="tx1"/>
            </w14:solidFill>
          </w14:textFill>
        </w:rPr>
        <w:t>而被提起仲裁或者</w:t>
      </w:r>
      <w:r>
        <w:rPr>
          <w:rFonts w:hint="eastAsia" w:ascii="方正仿宋_GBK" w:hAnsi="宋体" w:eastAsia="方正仿宋_GBK" w:cs="宋体"/>
          <w:color w:val="000000" w:themeColor="text1"/>
          <w:kern w:val="0"/>
          <w:sz w:val="32"/>
          <w:szCs w:val="32"/>
          <w14:textFill>
            <w14:solidFill>
              <w14:schemeClr w14:val="tx1"/>
            </w14:solidFill>
          </w14:textFill>
        </w:rPr>
        <w:t>诉讼</w:t>
      </w:r>
      <w:r>
        <w:rPr>
          <w:rFonts w:hint="eastAsia" w:ascii="方正仿宋_GBK" w:hAnsi="MS Gothic" w:eastAsia="方正仿宋_GBK" w:cs="MS Gothic"/>
          <w:color w:val="000000" w:themeColor="text1"/>
          <w:kern w:val="0"/>
          <w:sz w:val="32"/>
          <w:szCs w:val="32"/>
          <w14:textFill>
            <w14:solidFill>
              <w14:schemeClr w14:val="tx1"/>
            </w14:solidFill>
          </w14:textFill>
        </w:rPr>
        <w:t>的，</w:t>
      </w:r>
      <w:r>
        <w:rPr>
          <w:rFonts w:hint="eastAsia" w:ascii="方正仿宋_GBK" w:hAnsi="宋体" w:eastAsia="方正仿宋_GBK" w:cs="宋体"/>
          <w:color w:val="000000" w:themeColor="text1"/>
          <w:kern w:val="0"/>
          <w:sz w:val="32"/>
          <w:szCs w:val="32"/>
          <w14:textFill>
            <w14:solidFill>
              <w14:schemeClr w14:val="tx1"/>
            </w14:solidFill>
          </w14:textFill>
        </w:rPr>
        <w:t>应</w:t>
      </w:r>
      <w:r>
        <w:rPr>
          <w:rFonts w:hint="eastAsia" w:ascii="方正仿宋_GBK" w:hAnsi="MS Gothic" w:eastAsia="方正仿宋_GBK" w:cs="MS Gothic"/>
          <w:color w:val="000000" w:themeColor="text1"/>
          <w:kern w:val="0"/>
          <w:sz w:val="32"/>
          <w:szCs w:val="32"/>
          <w14:textFill>
            <w14:solidFill>
              <w14:schemeClr w14:val="tx1"/>
            </w14:solidFill>
          </w14:textFill>
        </w:rPr>
        <w:t>由被保</w:t>
      </w:r>
      <w:r>
        <w:rPr>
          <w:rFonts w:hint="eastAsia" w:ascii="方正仿宋_GBK" w:hAnsi="宋体" w:eastAsia="方正仿宋_GBK" w:cs="宋体"/>
          <w:color w:val="000000" w:themeColor="text1"/>
          <w:kern w:val="0"/>
          <w:sz w:val="32"/>
          <w:szCs w:val="32"/>
          <w14:textFill>
            <w14:solidFill>
              <w14:schemeClr w14:val="tx1"/>
            </w14:solidFill>
          </w14:textFill>
        </w:rPr>
        <w:t>险</w:t>
      </w:r>
      <w:r>
        <w:rPr>
          <w:rFonts w:hint="eastAsia" w:ascii="方正仿宋_GBK" w:hAnsi="MS Gothic" w:eastAsia="方正仿宋_GBK" w:cs="MS Gothic"/>
          <w:color w:val="000000" w:themeColor="text1"/>
          <w:kern w:val="0"/>
          <w:sz w:val="32"/>
          <w:szCs w:val="32"/>
          <w14:textFill>
            <w14:solidFill>
              <w14:schemeClr w14:val="tx1"/>
            </w14:solidFill>
          </w14:textFill>
        </w:rPr>
        <w:t>人支付的仲裁或</w:t>
      </w:r>
      <w:r>
        <w:rPr>
          <w:rFonts w:hint="eastAsia" w:ascii="方正仿宋_GBK" w:hAnsi="宋体" w:eastAsia="方正仿宋_GBK" w:cs="宋体"/>
          <w:color w:val="000000" w:themeColor="text1"/>
          <w:kern w:val="0"/>
          <w:sz w:val="32"/>
          <w:szCs w:val="32"/>
          <w14:textFill>
            <w14:solidFill>
              <w14:schemeClr w14:val="tx1"/>
            </w14:solidFill>
          </w14:textFill>
        </w:rPr>
        <w:t>诉讼费</w:t>
      </w:r>
      <w:r>
        <w:rPr>
          <w:rFonts w:hint="eastAsia" w:ascii="方正仿宋_GBK" w:eastAsia="方正仿宋_GBK" w:cs="HiddenHorzOCR"/>
          <w:color w:val="000000" w:themeColor="text1"/>
          <w:kern w:val="0"/>
          <w:sz w:val="32"/>
          <w:szCs w:val="32"/>
          <w14:textFill>
            <w14:solidFill>
              <w14:schemeClr w14:val="tx1"/>
            </w14:solidFill>
          </w14:textFill>
        </w:rPr>
        <w:t>、律</w:t>
      </w:r>
      <w:r>
        <w:rPr>
          <w:rFonts w:hint="eastAsia" w:ascii="方正仿宋_GBK" w:hAnsi="宋体" w:eastAsia="方正仿宋_GBK" w:cs="宋体"/>
          <w:color w:val="000000" w:themeColor="text1"/>
          <w:kern w:val="0"/>
          <w:sz w:val="32"/>
          <w:szCs w:val="32"/>
          <w14:textFill>
            <w14:solidFill>
              <w14:schemeClr w14:val="tx1"/>
            </w14:solidFill>
          </w14:textFill>
        </w:rPr>
        <w:t>师费</w:t>
      </w:r>
      <w:r>
        <w:rPr>
          <w:rFonts w:hint="eastAsia" w:ascii="方正仿宋_GBK" w:hAnsi="MS Gothic" w:eastAsia="方正仿宋_GBK" w:cs="MS Gothic"/>
          <w:color w:val="000000" w:themeColor="text1"/>
          <w:kern w:val="0"/>
          <w:sz w:val="32"/>
          <w:szCs w:val="32"/>
          <w14:textFill>
            <w14:solidFill>
              <w14:schemeClr w14:val="tx1"/>
            </w14:solidFill>
          </w14:textFill>
        </w:rPr>
        <w:t>以及事先</w:t>
      </w:r>
      <w:r>
        <w:rPr>
          <w:rFonts w:hint="eastAsia" w:ascii="方正仿宋_GBK" w:hAnsi="宋体" w:eastAsia="方正仿宋_GBK" w:cs="宋体"/>
          <w:color w:val="000000" w:themeColor="text1"/>
          <w:kern w:val="0"/>
          <w:sz w:val="32"/>
          <w:szCs w:val="32"/>
          <w14:textFill>
            <w14:solidFill>
              <w14:schemeClr w14:val="tx1"/>
            </w14:solidFill>
          </w14:textFill>
        </w:rPr>
        <w:t>经</w:t>
      </w:r>
      <w:r>
        <w:rPr>
          <w:rFonts w:hint="eastAsia" w:ascii="方正仿宋_GBK" w:hAnsi="MS Gothic" w:eastAsia="方正仿宋_GBK" w:cs="MS Gothic"/>
          <w:color w:val="000000" w:themeColor="text1"/>
          <w:kern w:val="0"/>
          <w:sz w:val="32"/>
          <w:szCs w:val="32"/>
          <w14:textFill>
            <w14:solidFill>
              <w14:schemeClr w14:val="tx1"/>
            </w14:solidFill>
          </w14:textFill>
        </w:rPr>
        <w:t>保</w:t>
      </w:r>
      <w:r>
        <w:rPr>
          <w:rFonts w:hint="eastAsia" w:ascii="方正仿宋_GBK" w:hAnsi="宋体" w:eastAsia="方正仿宋_GBK" w:cs="宋体"/>
          <w:color w:val="000000" w:themeColor="text1"/>
          <w:kern w:val="0"/>
          <w:sz w:val="32"/>
          <w:szCs w:val="32"/>
          <w14:textFill>
            <w14:solidFill>
              <w14:schemeClr w14:val="tx1"/>
            </w14:solidFill>
          </w14:textFill>
        </w:rPr>
        <w:t>险</w:t>
      </w:r>
      <w:r>
        <w:rPr>
          <w:rFonts w:hint="eastAsia" w:ascii="方正仿宋_GBK" w:hAnsi="MS Gothic" w:eastAsia="方正仿宋_GBK" w:cs="MS Gothic"/>
          <w:color w:val="000000" w:themeColor="text1"/>
          <w:kern w:val="0"/>
          <w:sz w:val="32"/>
          <w:szCs w:val="32"/>
          <w14:textFill>
            <w14:solidFill>
              <w14:schemeClr w14:val="tx1"/>
            </w14:solidFill>
          </w14:textFill>
        </w:rPr>
        <w:t>人</w:t>
      </w:r>
      <w:r>
        <w:rPr>
          <w:rFonts w:hint="eastAsia" w:ascii="方正仿宋_GBK" w:hAnsi="宋体" w:eastAsia="方正仿宋_GBK" w:cs="宋体"/>
          <w:color w:val="000000" w:themeColor="text1"/>
          <w:kern w:val="0"/>
          <w:sz w:val="32"/>
          <w:szCs w:val="32"/>
          <w14:textFill>
            <w14:solidFill>
              <w14:schemeClr w14:val="tx1"/>
            </w14:solidFill>
          </w14:textFill>
        </w:rPr>
        <w:t>书</w:t>
      </w:r>
      <w:r>
        <w:rPr>
          <w:rFonts w:hint="eastAsia" w:ascii="方正仿宋_GBK" w:hAnsi="MS Gothic" w:eastAsia="方正仿宋_GBK" w:cs="MS Gothic"/>
          <w:color w:val="000000" w:themeColor="text1"/>
          <w:kern w:val="0"/>
          <w:sz w:val="32"/>
          <w:szCs w:val="32"/>
          <w14:textFill>
            <w14:solidFill>
              <w14:schemeClr w14:val="tx1"/>
            </w14:solidFill>
          </w14:textFill>
        </w:rPr>
        <w:t>面同意支付的其他必要合理的</w:t>
      </w:r>
      <w:r>
        <w:rPr>
          <w:rFonts w:hint="eastAsia" w:ascii="方正仿宋_GBK" w:hAnsi="宋体" w:eastAsia="方正仿宋_GBK" w:cs="宋体"/>
          <w:color w:val="000000" w:themeColor="text1"/>
          <w:kern w:val="0"/>
          <w:sz w:val="32"/>
          <w:szCs w:val="32"/>
          <w14:textFill>
            <w14:solidFill>
              <w14:schemeClr w14:val="tx1"/>
            </w14:solidFill>
          </w14:textFill>
        </w:rPr>
        <w:t>费</w:t>
      </w:r>
      <w:r>
        <w:rPr>
          <w:rFonts w:hint="eastAsia" w:ascii="方正仿宋_GBK" w:eastAsia="方正仿宋_GBK" w:cs="HiddenHorzOCR"/>
          <w:color w:val="000000" w:themeColor="text1"/>
          <w:kern w:val="0"/>
          <w:sz w:val="32"/>
          <w:szCs w:val="32"/>
          <w14:textFill>
            <w14:solidFill>
              <w14:schemeClr w14:val="tx1"/>
            </w14:solidFill>
          </w14:textFill>
        </w:rPr>
        <w:t>用。</w:t>
      </w: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widowControl/>
        <w:jc w:val="left"/>
        <w:rPr>
          <w:rFonts w:ascii="方正仿宋_GBK" w:hAnsi="Arial" w:eastAsia="方正仿宋_GBK" w:cs="Arial"/>
          <w:color w:val="000000" w:themeColor="text1"/>
          <w:kern w:val="0"/>
          <w:sz w:val="32"/>
          <w:szCs w:val="32"/>
          <w14:textFill>
            <w14:solidFill>
              <w14:schemeClr w14:val="tx1"/>
            </w14:solidFill>
          </w14:textFill>
        </w:rPr>
      </w:pPr>
      <w:r>
        <w:rPr>
          <w:rFonts w:ascii="方正仿宋_GBK" w:hAnsi="Arial" w:eastAsia="方正仿宋_GBK" w:cs="Arial"/>
          <w:color w:val="000000" w:themeColor="text1"/>
          <w:sz w:val="32"/>
          <w:szCs w:val="32"/>
          <w14:textFill>
            <w14:solidFill>
              <w14:schemeClr w14:val="tx1"/>
            </w14:solidFill>
          </w14:textFill>
        </w:rPr>
        <w:br w:type="page"/>
      </w:r>
    </w:p>
    <w:p>
      <w:pPr>
        <w:rPr>
          <w:rFonts w:ascii="方正黑体_GBK" w:hAnsi="Times New Roman" w:eastAsia="方正黑体_GBK" w:cs="方正仿宋_GBK"/>
          <w:bCs/>
          <w:color w:val="000000" w:themeColor="text1"/>
          <w:sz w:val="32"/>
          <w:szCs w:val="32"/>
          <w14:textFill>
            <w14:solidFill>
              <w14:schemeClr w14:val="tx1"/>
            </w14:solidFill>
          </w14:textFill>
        </w:rPr>
      </w:pPr>
      <w:r>
        <w:rPr>
          <w:rFonts w:hint="eastAsia" w:ascii="方正黑体_GBK" w:hAnsi="Times New Roman" w:eastAsia="方正黑体_GBK" w:cs="方正仿宋_GBK"/>
          <w:bCs/>
          <w:color w:val="000000" w:themeColor="text1"/>
          <w:sz w:val="32"/>
          <w:szCs w:val="32"/>
          <w14:textFill>
            <w14:solidFill>
              <w14:schemeClr w14:val="tx1"/>
            </w14:solidFill>
          </w14:textFill>
        </w:rPr>
        <w:t>附件2：</w:t>
      </w:r>
    </w:p>
    <w:p>
      <w:pPr>
        <w:rPr>
          <w:rFonts w:ascii="方正小标宋_GBK" w:hAnsi="Times New Roman" w:eastAsia="方正小标宋_GBK" w:cs="方正仿宋_GBK"/>
          <w:bCs/>
          <w:color w:val="000000" w:themeColor="text1"/>
          <w:sz w:val="32"/>
          <w:szCs w:val="32"/>
          <w14:textFill>
            <w14:solidFill>
              <w14:schemeClr w14:val="tx1"/>
            </w14:solidFill>
          </w14:textFill>
        </w:rPr>
      </w:pPr>
    </w:p>
    <w:p>
      <w:pPr>
        <w:jc w:val="center"/>
        <w:rPr>
          <w:rFonts w:ascii="方正小标宋_GBK" w:hAnsi="Times New Roman" w:eastAsia="方正小标宋_GBK" w:cs="方正仿宋_GBK"/>
          <w:bCs/>
          <w:color w:val="000000" w:themeColor="text1"/>
          <w:sz w:val="32"/>
          <w:szCs w:val="32"/>
          <w14:textFill>
            <w14:solidFill>
              <w14:schemeClr w14:val="tx1"/>
            </w14:solidFill>
          </w14:textFill>
        </w:rPr>
      </w:pPr>
      <w:r>
        <w:rPr>
          <w:rFonts w:hint="eastAsia" w:ascii="方正小标宋_GBK" w:hAnsi="Times New Roman" w:eastAsia="方正小标宋_GBK" w:cs="方正仿宋_GBK"/>
          <w:bCs/>
          <w:color w:val="000000" w:themeColor="text1"/>
          <w:sz w:val="32"/>
          <w:szCs w:val="32"/>
          <w14:textFill>
            <w14:solidFill>
              <w14:schemeClr w14:val="tx1"/>
            </w14:solidFill>
          </w14:textFill>
        </w:rPr>
        <w:t>江苏省建设工程安责险参考费率表-（房屋市政工程）</w:t>
      </w:r>
    </w:p>
    <w:tbl>
      <w:tblPr>
        <w:tblStyle w:val="11"/>
        <w:tblW w:w="8535"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19"/>
        <w:gridCol w:w="1219"/>
        <w:gridCol w:w="1219"/>
        <w:gridCol w:w="1219"/>
        <w:gridCol w:w="1219"/>
        <w:gridCol w:w="1220"/>
        <w:gridCol w:w="122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Align w:val="center"/>
          </w:tcPr>
          <w:p>
            <w:pPr>
              <w:spacing w:line="320" w:lineRule="exact"/>
              <w:jc w:val="center"/>
              <w:rPr>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工程类型</w:t>
            </w:r>
          </w:p>
        </w:tc>
        <w:tc>
          <w:tcPr>
            <w:tcW w:w="1219" w:type="dxa"/>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投保造价</w:t>
            </w:r>
          </w:p>
        </w:tc>
        <w:tc>
          <w:tcPr>
            <w:tcW w:w="1219" w:type="dxa"/>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基准费率A档</w:t>
            </w:r>
            <w:r>
              <w:rPr>
                <w:rFonts w:ascii="方正黑体_GBK" w:hAnsi="方正黑体_GBK" w:eastAsia="方正黑体_GBK" w:cs="方正黑体_GBK"/>
                <w:color w:val="000000" w:themeColor="text1"/>
                <w:sz w:val="24"/>
                <w14:textFill>
                  <w14:solidFill>
                    <w14:schemeClr w14:val="tx1"/>
                  </w14:solidFill>
                </w14:textFill>
              </w:rPr>
              <w:t>（‰）</w:t>
            </w:r>
          </w:p>
        </w:tc>
        <w:tc>
          <w:tcPr>
            <w:tcW w:w="1219" w:type="dxa"/>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基准费率B档</w:t>
            </w:r>
            <w:r>
              <w:rPr>
                <w:rFonts w:ascii="方正黑体_GBK" w:hAnsi="方正黑体_GBK" w:eastAsia="方正黑体_GBK" w:cs="方正黑体_GBK"/>
                <w:color w:val="000000" w:themeColor="text1"/>
                <w:sz w:val="24"/>
                <w14:textFill>
                  <w14:solidFill>
                    <w14:schemeClr w14:val="tx1"/>
                  </w14:solidFill>
                </w14:textFill>
              </w:rPr>
              <w:t>（‰）</w:t>
            </w:r>
          </w:p>
        </w:tc>
        <w:tc>
          <w:tcPr>
            <w:tcW w:w="1219" w:type="dxa"/>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大工程优惠折扣系数</w:t>
            </w:r>
          </w:p>
        </w:tc>
        <w:tc>
          <w:tcPr>
            <w:tcW w:w="1220" w:type="dxa"/>
          </w:tcPr>
          <w:p>
            <w:pPr>
              <w:spacing w:line="320" w:lineRule="exact"/>
              <w:jc w:val="center"/>
              <w:rPr>
                <w:rFonts w:ascii="方正小标宋_GBK" w:eastAsia="方正小标宋_GBK"/>
                <w:color w:val="000000" w:themeColor="text1"/>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A档执行费率</w:t>
            </w:r>
          </w:p>
        </w:tc>
        <w:tc>
          <w:tcPr>
            <w:tcW w:w="1220" w:type="dxa"/>
          </w:tcPr>
          <w:p>
            <w:pPr>
              <w:spacing w:line="320" w:lineRule="exact"/>
              <w:jc w:val="center"/>
              <w:rPr>
                <w:rFonts w:ascii="方正小标宋_GBK" w:eastAsia="方正小标宋_GBK"/>
                <w:color w:val="000000" w:themeColor="text1"/>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B档执行费率</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Merge w:val="restart"/>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房屋建筑</w:t>
            </w:r>
          </w:p>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工程</w:t>
            </w: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1亿元以下</w:t>
            </w:r>
          </w:p>
        </w:tc>
        <w:tc>
          <w:tcPr>
            <w:tcW w:w="1219" w:type="dxa"/>
            <w:vMerge w:val="restart"/>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ascii="宋体" w:hAnsi="宋体" w:eastAsia="宋体" w:cs="Times New Roman"/>
                <w:color w:val="000000" w:themeColor="text1"/>
                <w:kern w:val="0"/>
                <w:szCs w:val="21"/>
                <w14:textFill>
                  <w14:solidFill>
                    <w14:schemeClr w14:val="tx1"/>
                  </w14:solidFill>
                </w14:textFill>
              </w:rPr>
              <w:t>0.6</w:t>
            </w:r>
          </w:p>
        </w:tc>
        <w:tc>
          <w:tcPr>
            <w:tcW w:w="1219" w:type="dxa"/>
            <w:vMerge w:val="restart"/>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0.48</w:t>
            </w: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1</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0.6</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0.48</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1-3亿元</w:t>
            </w:r>
          </w:p>
        </w:tc>
        <w:tc>
          <w:tcPr>
            <w:tcW w:w="1219" w:type="dxa"/>
            <w:vMerge w:val="continue"/>
            <w:vAlign w:val="center"/>
          </w:tcPr>
          <w:p>
            <w:pPr>
              <w:spacing w:line="320" w:lineRule="exact"/>
              <w:jc w:val="center"/>
              <w:rPr>
                <w:rFonts w:ascii="宋体" w:hAnsi="宋体" w:eastAsia="宋体"/>
                <w:color w:val="000000" w:themeColor="text1"/>
                <w:szCs w:val="21"/>
                <w14:textFill>
                  <w14:solidFill>
                    <w14:schemeClr w14:val="tx1"/>
                  </w14:solidFill>
                </w14:textFill>
              </w:rPr>
            </w:pPr>
          </w:p>
        </w:tc>
        <w:tc>
          <w:tcPr>
            <w:tcW w:w="1219"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0.96</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0.58</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0.46</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3亿元以上</w:t>
            </w:r>
          </w:p>
        </w:tc>
        <w:tc>
          <w:tcPr>
            <w:tcW w:w="1219" w:type="dxa"/>
            <w:vMerge w:val="continue"/>
            <w:vAlign w:val="center"/>
          </w:tcPr>
          <w:p>
            <w:pPr>
              <w:spacing w:line="320" w:lineRule="exact"/>
              <w:jc w:val="center"/>
              <w:rPr>
                <w:rFonts w:ascii="宋体" w:hAnsi="宋体" w:eastAsia="宋体"/>
                <w:color w:val="000000" w:themeColor="text1"/>
                <w:szCs w:val="21"/>
                <w14:textFill>
                  <w14:solidFill>
                    <w14:schemeClr w14:val="tx1"/>
                  </w14:solidFill>
                </w14:textFill>
              </w:rPr>
            </w:pPr>
          </w:p>
        </w:tc>
        <w:tc>
          <w:tcPr>
            <w:tcW w:w="1219"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0.89</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0.53</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0.43</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Merge w:val="restart"/>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轨道交通工程（含其配套设施建设工程）</w:t>
            </w: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2亿元以下</w:t>
            </w:r>
          </w:p>
        </w:tc>
        <w:tc>
          <w:tcPr>
            <w:tcW w:w="1219" w:type="dxa"/>
            <w:vMerge w:val="restart"/>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ascii="宋体" w:hAnsi="宋体" w:eastAsia="宋体" w:cs="Times New Roman"/>
                <w:color w:val="000000" w:themeColor="text1"/>
                <w:szCs w:val="21"/>
                <w14:textFill>
                  <w14:solidFill>
                    <w14:schemeClr w14:val="tx1"/>
                  </w14:solidFill>
                </w14:textFill>
              </w:rPr>
              <w:t>0.54</w:t>
            </w:r>
          </w:p>
        </w:tc>
        <w:tc>
          <w:tcPr>
            <w:tcW w:w="1219" w:type="dxa"/>
            <w:vMerge w:val="restart"/>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0.43</w:t>
            </w: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1</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0.54 </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0.43 </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2-4亿元</w:t>
            </w:r>
          </w:p>
        </w:tc>
        <w:tc>
          <w:tcPr>
            <w:tcW w:w="1219" w:type="dxa"/>
            <w:vMerge w:val="continue"/>
            <w:vAlign w:val="center"/>
          </w:tcPr>
          <w:p>
            <w:pPr>
              <w:spacing w:line="320" w:lineRule="exact"/>
              <w:jc w:val="center"/>
              <w:rPr>
                <w:rFonts w:ascii="宋体" w:hAnsi="宋体" w:eastAsia="宋体"/>
                <w:color w:val="000000" w:themeColor="text1"/>
                <w:szCs w:val="21"/>
                <w14:textFill>
                  <w14:solidFill>
                    <w14:schemeClr w14:val="tx1"/>
                  </w14:solidFill>
                </w14:textFill>
              </w:rPr>
            </w:pPr>
          </w:p>
        </w:tc>
        <w:tc>
          <w:tcPr>
            <w:tcW w:w="1219"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0.96</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0.52 </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0.41 </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4亿元以上</w:t>
            </w:r>
          </w:p>
        </w:tc>
        <w:tc>
          <w:tcPr>
            <w:tcW w:w="1219" w:type="dxa"/>
            <w:vMerge w:val="continue"/>
            <w:vAlign w:val="center"/>
          </w:tcPr>
          <w:p>
            <w:pPr>
              <w:spacing w:line="320" w:lineRule="exact"/>
              <w:jc w:val="center"/>
              <w:rPr>
                <w:rFonts w:ascii="宋体" w:hAnsi="宋体" w:eastAsia="宋体"/>
                <w:color w:val="000000" w:themeColor="text1"/>
                <w:szCs w:val="21"/>
                <w14:textFill>
                  <w14:solidFill>
                    <w14:schemeClr w14:val="tx1"/>
                  </w14:solidFill>
                </w14:textFill>
              </w:rPr>
            </w:pPr>
          </w:p>
        </w:tc>
        <w:tc>
          <w:tcPr>
            <w:tcW w:w="1219"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0.89</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0.48 </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0.38 </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trHeight w:val="817" w:hRule="atLeast"/>
        </w:trPr>
        <w:tc>
          <w:tcPr>
            <w:tcW w:w="1219" w:type="dxa"/>
            <w:vMerge w:val="restart"/>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市政工程</w:t>
            </w: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5千万以下</w:t>
            </w:r>
          </w:p>
        </w:tc>
        <w:tc>
          <w:tcPr>
            <w:tcW w:w="1219" w:type="dxa"/>
            <w:vMerge w:val="restart"/>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ascii="宋体" w:hAnsi="宋体" w:eastAsia="宋体" w:cs="Times New Roman"/>
                <w:color w:val="000000" w:themeColor="text1"/>
                <w:szCs w:val="21"/>
                <w14:textFill>
                  <w14:solidFill>
                    <w14:schemeClr w14:val="tx1"/>
                  </w14:solidFill>
                </w14:textFill>
              </w:rPr>
              <w:t>0.48</w:t>
            </w:r>
          </w:p>
        </w:tc>
        <w:tc>
          <w:tcPr>
            <w:tcW w:w="1219" w:type="dxa"/>
            <w:vMerge w:val="restart"/>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0.38</w:t>
            </w: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1</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0.48 </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0.38 </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5千万-2亿元</w:t>
            </w:r>
          </w:p>
        </w:tc>
        <w:tc>
          <w:tcPr>
            <w:tcW w:w="1219"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0.96</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0.46 </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0.36 </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2亿元以上</w:t>
            </w:r>
          </w:p>
        </w:tc>
        <w:tc>
          <w:tcPr>
            <w:tcW w:w="1219"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0.89</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0.43 </w:t>
            </w:r>
          </w:p>
        </w:tc>
        <w:tc>
          <w:tcPr>
            <w:tcW w:w="1220" w:type="dxa"/>
            <w:vAlign w:val="center"/>
          </w:tcPr>
          <w:p>
            <w:pPr>
              <w:spacing w:line="320" w:lineRule="exact"/>
              <w:jc w:val="center"/>
              <w:rPr>
                <w:rFonts w:ascii="宋体" w:hAnsi="宋体" w:eastAsia="宋体"/>
                <w:color w:val="000000" w:themeColor="text1"/>
                <w:szCs w:val="21"/>
                <w14:textFill>
                  <w14:solidFill>
                    <w14:schemeClr w14:val="tx1"/>
                  </w14:solidFill>
                </w14:textFill>
              </w:rPr>
            </w:pPr>
            <w:r>
              <w:rPr>
                <w:rFonts w:hint="eastAsia" w:ascii="宋体" w:hAnsi="宋体" w:eastAsia="宋体"/>
                <w:color w:val="000000" w:themeColor="text1"/>
                <w:szCs w:val="21"/>
                <w14:textFill>
                  <w14:solidFill>
                    <w14:schemeClr w14:val="tx1"/>
                  </w14:solidFill>
                </w14:textFill>
              </w:rPr>
              <w:t xml:space="preserve">0.34 </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装饰装修</w:t>
            </w:r>
          </w:p>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工程</w:t>
            </w: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ascii="宋体" w:hAnsi="宋体" w:eastAsia="宋体" w:cs="Times New Roman"/>
                <w:color w:val="000000" w:themeColor="text1"/>
                <w:szCs w:val="21"/>
                <w14:textFill>
                  <w14:solidFill>
                    <w14:schemeClr w14:val="tx1"/>
                  </w14:solidFill>
                </w14:textFill>
              </w:rPr>
              <w:t>0.42</w:t>
            </w: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0.3</w:t>
            </w:r>
            <w:r>
              <w:rPr>
                <w:rFonts w:ascii="宋体" w:hAnsi="宋体" w:eastAsia="宋体" w:cs="Times New Roman"/>
                <w:color w:val="000000" w:themeColor="text1"/>
                <w:szCs w:val="21"/>
                <w14:textFill>
                  <w14:solidFill>
                    <w14:schemeClr w14:val="tx1"/>
                  </w14:solidFill>
                </w14:textFill>
              </w:rPr>
              <w:t>4</w:t>
            </w: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p>
        </w:tc>
        <w:tc>
          <w:tcPr>
            <w:tcW w:w="1220"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ascii="宋体" w:hAnsi="宋体" w:eastAsia="宋体" w:cs="Times New Roman"/>
                <w:color w:val="000000" w:themeColor="text1"/>
                <w:szCs w:val="21"/>
                <w14:textFill>
                  <w14:solidFill>
                    <w14:schemeClr w14:val="tx1"/>
                  </w14:solidFill>
                </w14:textFill>
              </w:rPr>
              <w:t>0.42</w:t>
            </w:r>
          </w:p>
        </w:tc>
        <w:tc>
          <w:tcPr>
            <w:tcW w:w="1220"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0.3</w:t>
            </w:r>
            <w:r>
              <w:rPr>
                <w:rFonts w:ascii="宋体" w:hAnsi="宋体" w:eastAsia="宋体" w:cs="Times New Roman"/>
                <w:color w:val="000000" w:themeColor="text1"/>
                <w:szCs w:val="21"/>
                <w14:textFill>
                  <w14:solidFill>
                    <w14:schemeClr w14:val="tx1"/>
                  </w14:solidFill>
                </w14:textFill>
              </w:rPr>
              <w:t>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817" w:hRule="atLeast"/>
        </w:trPr>
        <w:tc>
          <w:tcPr>
            <w:tcW w:w="12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园林绿化</w:t>
            </w:r>
          </w:p>
          <w:p>
            <w:pPr>
              <w:widowControl/>
              <w:spacing w:line="320" w:lineRule="exact"/>
              <w:jc w:val="center"/>
              <w:rPr>
                <w:rFonts w:ascii="宋体" w:hAnsi="宋体" w:eastAsia="宋体" w:cs="方正仿宋_GBK"/>
                <w:color w:val="000000" w:themeColor="text1"/>
                <w:kern w:val="0"/>
                <w:szCs w:val="21"/>
                <w:highlight w:val="yellow"/>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工程</w:t>
            </w: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0.4</w:t>
            </w:r>
          </w:p>
        </w:tc>
        <w:tc>
          <w:tcPr>
            <w:tcW w:w="1219"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0.32</w:t>
            </w:r>
          </w:p>
        </w:tc>
        <w:tc>
          <w:tcPr>
            <w:tcW w:w="1219" w:type="dxa"/>
            <w:vAlign w:val="center"/>
          </w:tcPr>
          <w:p>
            <w:pPr>
              <w:spacing w:line="320" w:lineRule="exact"/>
              <w:jc w:val="center"/>
              <w:rPr>
                <w:rFonts w:ascii="宋体" w:hAnsi="宋体" w:eastAsia="宋体"/>
                <w:color w:val="000000" w:themeColor="text1"/>
                <w:szCs w:val="21"/>
                <w14:textFill>
                  <w14:solidFill>
                    <w14:schemeClr w14:val="tx1"/>
                  </w14:solidFill>
                </w14:textFill>
              </w:rPr>
            </w:pPr>
          </w:p>
        </w:tc>
        <w:tc>
          <w:tcPr>
            <w:tcW w:w="1220"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0.4</w:t>
            </w:r>
          </w:p>
        </w:tc>
        <w:tc>
          <w:tcPr>
            <w:tcW w:w="1220" w:type="dxa"/>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0.32</w:t>
            </w:r>
          </w:p>
        </w:tc>
      </w:tr>
    </w:tbl>
    <w:p>
      <w:pPr>
        <w:spacing w:line="360" w:lineRule="exact"/>
        <w:ind w:firstLine="420" w:firstLineChars="200"/>
        <w:rPr>
          <w:rFonts w:ascii="方正黑体_GBK" w:eastAsia="方正黑体_GBK"/>
          <w:color w:val="000000" w:themeColor="text1"/>
          <w14:textFill>
            <w14:solidFill>
              <w14:schemeClr w14:val="tx1"/>
            </w14:solidFill>
          </w14:textFill>
        </w:rPr>
      </w:pPr>
      <w:r>
        <w:rPr>
          <w:rFonts w:hint="eastAsia" w:ascii="方正黑体_GBK" w:hAnsi="宋体" w:eastAsia="方正黑体_GBK" w:cs="方正仿宋_GBK"/>
          <w:color w:val="000000" w:themeColor="text1"/>
          <w:kern w:val="0"/>
          <w:szCs w:val="21"/>
          <w14:textFill>
            <w14:solidFill>
              <w14:schemeClr w14:val="tx1"/>
            </w14:solidFill>
          </w14:textFill>
        </w:rPr>
        <w:t>注：桥梁、高架、隧道之和占总造价比例40%以上或总长度之和占比30%以上的市政工程，</w:t>
      </w:r>
      <w:r>
        <w:rPr>
          <w:rFonts w:hint="eastAsia" w:ascii="方正黑体_GBK" w:eastAsia="方正黑体_GBK"/>
          <w:color w:val="000000" w:themeColor="text1"/>
          <w14:textFill>
            <w14:solidFill>
              <w14:schemeClr w14:val="tx1"/>
            </w14:solidFill>
          </w14:textFill>
        </w:rPr>
        <w:t>水厂、污水处理厂等非线性市政工程，机电安装工程和及其它未明确的工程按照房屋建筑工程费率计算，轨道交通装饰装修工程按装饰装修工程费率计算；实际费率以保险机构向保险监管部门报备费率为准。</w:t>
      </w:r>
    </w:p>
    <w:p>
      <w:pPr>
        <w:spacing w:line="360" w:lineRule="exact"/>
        <w:rPr>
          <w:rFonts w:ascii="方正黑体_GBK" w:eastAsia="方正黑体_GBK"/>
          <w:color w:val="000000" w:themeColor="text1"/>
          <w14:textFill>
            <w14:solidFill>
              <w14:schemeClr w14:val="tx1"/>
            </w14:solidFill>
          </w14:textFill>
        </w:rPr>
      </w:pPr>
    </w:p>
    <w:p>
      <w:pPr>
        <w:spacing w:line="360" w:lineRule="exact"/>
        <w:rPr>
          <w:rFonts w:ascii="方正黑体_GBK" w:eastAsia="方正黑体_GBK"/>
          <w:color w:val="000000" w:themeColor="text1"/>
          <w14:textFill>
            <w14:solidFill>
              <w14:schemeClr w14:val="tx1"/>
            </w14:solidFill>
          </w14:textFill>
        </w:rPr>
      </w:pPr>
    </w:p>
    <w:p>
      <w:pPr>
        <w:jc w:val="center"/>
        <w:rPr>
          <w:rFonts w:ascii="方正小标宋_GBK" w:hAnsi="Times New Roman" w:eastAsia="方正小标宋_GBK" w:cs="方正仿宋_GBK"/>
          <w:bCs/>
          <w:color w:val="000000" w:themeColor="text1"/>
          <w:sz w:val="32"/>
          <w:szCs w:val="32"/>
          <w14:textFill>
            <w14:solidFill>
              <w14:schemeClr w14:val="tx1"/>
            </w14:solidFill>
          </w14:textFill>
        </w:rPr>
      </w:pPr>
      <w:r>
        <w:rPr>
          <w:rFonts w:hint="eastAsia" w:ascii="方正小标宋_GBK" w:hAnsi="Times New Roman" w:eastAsia="方正小标宋_GBK" w:cs="方正仿宋_GBK"/>
          <w:bCs/>
          <w:color w:val="000000" w:themeColor="text1"/>
          <w:sz w:val="32"/>
          <w:szCs w:val="32"/>
          <w14:textFill>
            <w14:solidFill>
              <w14:schemeClr w14:val="tx1"/>
            </w14:solidFill>
          </w14:textFill>
        </w:rPr>
        <w:t>江苏省建设工程安责险参考费率表-（拆除工程）</w:t>
      </w:r>
    </w:p>
    <w:tbl>
      <w:tblPr>
        <w:tblStyle w:val="11"/>
        <w:tblW w:w="7815"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781"/>
        <w:gridCol w:w="3519"/>
        <w:gridCol w:w="2515"/>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项目类别</w:t>
            </w:r>
          </w:p>
        </w:tc>
        <w:tc>
          <w:tcPr>
            <w:tcW w:w="3519" w:type="dxa"/>
            <w:tcBorders>
              <w:bottom w:val="single" w:color="000000" w:themeColor="text1" w:sz="4" w:space="0"/>
            </w:tcBorders>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投保分类</w:t>
            </w:r>
          </w:p>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（面积/长度/高度）</w:t>
            </w:r>
          </w:p>
        </w:tc>
        <w:tc>
          <w:tcPr>
            <w:tcW w:w="2515" w:type="dxa"/>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投保费用</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restart"/>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普通民房、办公房、工业厂房</w:t>
            </w: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5万m²以下</w:t>
            </w:r>
          </w:p>
        </w:tc>
        <w:tc>
          <w:tcPr>
            <w:tcW w:w="2515"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每m²0.5元</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5万m²-10万m²</w:t>
            </w:r>
          </w:p>
        </w:tc>
        <w:tc>
          <w:tcPr>
            <w:tcW w:w="2515"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每m²0.45元</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10万m²以上</w:t>
            </w:r>
          </w:p>
        </w:tc>
        <w:tc>
          <w:tcPr>
            <w:tcW w:w="2515"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每m²0.35元</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restart"/>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城市桥梁（涵洞）</w:t>
            </w: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特大桥：多孔跨径总长≥</w:t>
            </w:r>
            <w:r>
              <w:rPr>
                <w:rFonts w:ascii="宋体" w:hAnsi="宋体" w:eastAsia="宋体" w:cs="方正仿宋_GBK"/>
                <w:color w:val="000000" w:themeColor="text1"/>
                <w:kern w:val="0"/>
                <w:szCs w:val="21"/>
                <w14:textFill>
                  <w14:solidFill>
                    <w14:schemeClr w14:val="tx1"/>
                  </w14:solidFill>
                </w14:textFill>
              </w:rPr>
              <w:t>500</w:t>
            </w:r>
            <w:r>
              <w:rPr>
                <w:rFonts w:hint="eastAsia" w:ascii="宋体" w:hAnsi="宋体" w:eastAsia="宋体" w:cs="方正仿宋_GBK"/>
                <w:color w:val="000000" w:themeColor="text1"/>
                <w:kern w:val="0"/>
                <w:szCs w:val="21"/>
                <w14:textFill>
                  <w14:solidFill>
                    <w14:schemeClr w14:val="tx1"/>
                  </w14:solidFill>
                </w14:textFill>
              </w:rPr>
              <w:t>米，或单孔跨径≥</w:t>
            </w:r>
            <w:r>
              <w:rPr>
                <w:rFonts w:ascii="宋体" w:hAnsi="宋体" w:eastAsia="宋体" w:cs="方正仿宋_GBK"/>
                <w:color w:val="000000" w:themeColor="text1"/>
                <w:kern w:val="0"/>
                <w:szCs w:val="21"/>
                <w14:textFill>
                  <w14:solidFill>
                    <w14:schemeClr w14:val="tx1"/>
                  </w14:solidFill>
                </w14:textFill>
              </w:rPr>
              <w:t>100</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ascii="宋体" w:hAnsi="宋体" w:eastAsia="宋体" w:cs="方正仿宋_GBK"/>
                <w:color w:val="000000" w:themeColor="text1"/>
                <w:kern w:val="0"/>
                <w:szCs w:val="21"/>
                <w14:textFill>
                  <w14:solidFill>
                    <w14:schemeClr w14:val="tx1"/>
                  </w14:solidFill>
                </w14:textFill>
              </w:rPr>
              <w:t>1.2</w:t>
            </w:r>
            <w:r>
              <w:rPr>
                <w:rFonts w:hint="eastAsia" w:ascii="宋体" w:hAnsi="宋体" w:eastAsia="宋体" w:cs="方正仿宋_GBK"/>
                <w:color w:val="000000" w:themeColor="text1"/>
                <w:kern w:val="0"/>
                <w:szCs w:val="21"/>
                <w14:textFill>
                  <w14:solidFill>
                    <w14:schemeClr w14:val="tx1"/>
                  </w14:solidFill>
                </w14:textFill>
              </w:rPr>
              <w:t>万元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大桥：多孔跨径总长≥</w:t>
            </w:r>
            <w:r>
              <w:rPr>
                <w:rFonts w:ascii="宋体" w:hAnsi="宋体" w:eastAsia="宋体" w:cs="方正仿宋_GBK"/>
                <w:color w:val="000000" w:themeColor="text1"/>
                <w:kern w:val="0"/>
                <w:szCs w:val="21"/>
                <w14:textFill>
                  <w14:solidFill>
                    <w14:schemeClr w14:val="tx1"/>
                  </w14:solidFill>
                </w14:textFill>
              </w:rPr>
              <w:t>100</w:t>
            </w:r>
            <w:r>
              <w:rPr>
                <w:rFonts w:hint="eastAsia" w:ascii="宋体" w:hAnsi="宋体" w:eastAsia="宋体" w:cs="方正仿宋_GBK"/>
                <w:color w:val="000000" w:themeColor="text1"/>
                <w:kern w:val="0"/>
                <w:szCs w:val="21"/>
                <w14:textFill>
                  <w14:solidFill>
                    <w14:schemeClr w14:val="tx1"/>
                  </w14:solidFill>
                </w14:textFill>
              </w:rPr>
              <w:t>米，或单孔跨径≥</w:t>
            </w:r>
            <w:r>
              <w:rPr>
                <w:rFonts w:ascii="宋体" w:hAnsi="宋体" w:eastAsia="宋体" w:cs="方正仿宋_GBK"/>
                <w:color w:val="000000" w:themeColor="text1"/>
                <w:kern w:val="0"/>
                <w:szCs w:val="21"/>
                <w14:textFill>
                  <w14:solidFill>
                    <w14:schemeClr w14:val="tx1"/>
                  </w14:solidFill>
                </w14:textFill>
              </w:rPr>
              <w:t>40</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0.6万元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中桥：多孔跨径总长≥</w:t>
            </w:r>
            <w:r>
              <w:rPr>
                <w:rFonts w:ascii="宋体" w:hAnsi="宋体" w:eastAsia="宋体" w:cs="方正仿宋_GBK"/>
                <w:color w:val="000000" w:themeColor="text1"/>
                <w:kern w:val="0"/>
                <w:szCs w:val="21"/>
                <w14:textFill>
                  <w14:solidFill>
                    <w14:schemeClr w14:val="tx1"/>
                  </w14:solidFill>
                </w14:textFill>
              </w:rPr>
              <w:t>30</w:t>
            </w:r>
            <w:r>
              <w:rPr>
                <w:rFonts w:hint="eastAsia" w:ascii="宋体" w:hAnsi="宋体" w:eastAsia="宋体" w:cs="方正仿宋_GBK"/>
                <w:color w:val="000000" w:themeColor="text1"/>
                <w:kern w:val="0"/>
                <w:szCs w:val="21"/>
                <w14:textFill>
                  <w14:solidFill>
                    <w14:schemeClr w14:val="tx1"/>
                  </w14:solidFill>
                </w14:textFill>
              </w:rPr>
              <w:t>米，或单孔跨径≥</w:t>
            </w:r>
            <w:r>
              <w:rPr>
                <w:rFonts w:ascii="宋体" w:hAnsi="宋体" w:eastAsia="宋体" w:cs="方正仿宋_GBK"/>
                <w:color w:val="000000" w:themeColor="text1"/>
                <w:kern w:val="0"/>
                <w:szCs w:val="21"/>
                <w14:textFill>
                  <w14:solidFill>
                    <w14:schemeClr w14:val="tx1"/>
                  </w14:solidFill>
                </w14:textFill>
              </w:rPr>
              <w:t>20</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2970元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小桥：多孔跨径总长≥</w:t>
            </w:r>
            <w:r>
              <w:rPr>
                <w:rFonts w:ascii="宋体" w:hAnsi="宋体" w:eastAsia="宋体" w:cs="方正仿宋_GBK"/>
                <w:color w:val="000000" w:themeColor="text1"/>
                <w:kern w:val="0"/>
                <w:szCs w:val="21"/>
                <w14:textFill>
                  <w14:solidFill>
                    <w14:schemeClr w14:val="tx1"/>
                  </w14:solidFill>
                </w14:textFill>
              </w:rPr>
              <w:t>8</w:t>
            </w:r>
            <w:r>
              <w:rPr>
                <w:rFonts w:hint="eastAsia" w:ascii="宋体" w:hAnsi="宋体" w:eastAsia="宋体" w:cs="方正仿宋_GBK"/>
                <w:color w:val="000000" w:themeColor="text1"/>
                <w:kern w:val="0"/>
                <w:szCs w:val="21"/>
                <w14:textFill>
                  <w14:solidFill>
                    <w14:schemeClr w14:val="tx1"/>
                  </w14:solidFill>
                </w14:textFill>
              </w:rPr>
              <w:t>米，或单孔跨径≥</w:t>
            </w:r>
            <w:r>
              <w:rPr>
                <w:rFonts w:ascii="宋体" w:hAnsi="宋体" w:eastAsia="宋体" w:cs="方正仿宋_GBK"/>
                <w:color w:val="000000" w:themeColor="text1"/>
                <w:kern w:val="0"/>
                <w:szCs w:val="21"/>
                <w14:textFill>
                  <w14:solidFill>
                    <w14:schemeClr w14:val="tx1"/>
                  </w14:solidFill>
                </w14:textFill>
              </w:rPr>
              <w:t>5</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1780元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桥</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涵洞：多孔跨径总长＜</w:t>
            </w:r>
            <w:r>
              <w:rPr>
                <w:rFonts w:ascii="宋体" w:hAnsi="宋体" w:eastAsia="宋体" w:cs="方正仿宋_GBK"/>
                <w:color w:val="000000" w:themeColor="text1"/>
                <w:kern w:val="0"/>
                <w:szCs w:val="21"/>
                <w14:textFill>
                  <w14:solidFill>
                    <w14:schemeClr w14:val="tx1"/>
                  </w14:solidFill>
                </w14:textFill>
              </w:rPr>
              <w:t>8</w:t>
            </w:r>
            <w:r>
              <w:rPr>
                <w:rFonts w:hint="eastAsia" w:ascii="宋体" w:hAnsi="宋体" w:eastAsia="宋体" w:cs="方正仿宋_GBK"/>
                <w:color w:val="000000" w:themeColor="text1"/>
                <w:kern w:val="0"/>
                <w:szCs w:val="21"/>
                <w14:textFill>
                  <w14:solidFill>
                    <w14:schemeClr w14:val="tx1"/>
                  </w14:solidFill>
                </w14:textFill>
              </w:rPr>
              <w:t>米，或单孔跨径＜</w:t>
            </w:r>
            <w:r>
              <w:rPr>
                <w:rFonts w:ascii="宋体" w:hAnsi="宋体" w:eastAsia="宋体" w:cs="方正仿宋_GBK"/>
                <w:color w:val="000000" w:themeColor="text1"/>
                <w:kern w:val="0"/>
                <w:szCs w:val="21"/>
                <w14:textFill>
                  <w14:solidFill>
                    <w14:schemeClr w14:val="tx1"/>
                  </w14:solidFill>
                </w14:textFill>
              </w:rPr>
              <w:t>5</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ascii="宋体" w:hAnsi="宋体" w:eastAsia="宋体" w:cs="方正仿宋_GBK"/>
                <w:color w:val="000000" w:themeColor="text1"/>
                <w:kern w:val="0"/>
                <w:szCs w:val="21"/>
                <w14:textFill>
                  <w14:solidFill>
                    <w14:schemeClr w14:val="tx1"/>
                  </w14:solidFill>
                </w14:textFill>
              </w:rPr>
              <w:t>593</w:t>
            </w:r>
            <w:r>
              <w:rPr>
                <w:rFonts w:hint="eastAsia" w:ascii="宋体" w:hAnsi="宋体" w:eastAsia="宋体" w:cs="方正仿宋_GBK"/>
                <w:color w:val="000000" w:themeColor="text1"/>
                <w:kern w:val="0"/>
                <w:szCs w:val="21"/>
                <w14:textFill>
                  <w14:solidFill>
                    <w14:schemeClr w14:val="tx1"/>
                  </w14:solidFill>
                </w14:textFill>
              </w:rPr>
              <w:t>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涵洞</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restart"/>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烟囱、水塔、电视塔等可按高度分类投保的建筑</w:t>
            </w: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超高：高度≥1</w:t>
            </w:r>
            <w:r>
              <w:rPr>
                <w:rFonts w:ascii="宋体" w:hAnsi="宋体" w:eastAsia="宋体" w:cs="方正仿宋_GBK"/>
                <w:color w:val="000000" w:themeColor="text1"/>
                <w:kern w:val="0"/>
                <w:szCs w:val="21"/>
                <w14:textFill>
                  <w14:solidFill>
                    <w14:schemeClr w14:val="tx1"/>
                  </w14:solidFill>
                </w14:textFill>
              </w:rPr>
              <w:t>00</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2375元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高：总高≥6</w:t>
            </w:r>
            <w:r>
              <w:rPr>
                <w:rFonts w:ascii="宋体" w:hAnsi="宋体" w:eastAsia="宋体" w:cs="方正仿宋_GBK"/>
                <w:color w:val="000000" w:themeColor="text1"/>
                <w:kern w:val="0"/>
                <w:szCs w:val="21"/>
                <w14:textFill>
                  <w14:solidFill>
                    <w14:schemeClr w14:val="tx1"/>
                  </w14:solidFill>
                </w14:textFill>
              </w:rPr>
              <w:t>0</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1780元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中：总高≥4</w:t>
            </w:r>
            <w:r>
              <w:rPr>
                <w:rFonts w:ascii="宋体" w:hAnsi="宋体" w:eastAsia="宋体" w:cs="方正仿宋_GBK"/>
                <w:color w:val="000000" w:themeColor="text1"/>
                <w:kern w:val="0"/>
                <w:szCs w:val="21"/>
                <w14:textFill>
                  <w14:solidFill>
                    <w14:schemeClr w14:val="tx1"/>
                  </w14:solidFill>
                </w14:textFill>
              </w:rPr>
              <w:t>0</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1188元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座</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40" w:hRule="atLeast"/>
        </w:trPr>
        <w:tc>
          <w:tcPr>
            <w:tcW w:w="1781" w:type="dxa"/>
            <w:vMerge w:val="continue"/>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p>
        </w:tc>
        <w:tc>
          <w:tcPr>
            <w:tcW w:w="3519" w:type="dxa"/>
            <w:vAlign w:val="center"/>
          </w:tcPr>
          <w:p>
            <w:pPr>
              <w:widowControl/>
              <w:spacing w:line="320" w:lineRule="exact"/>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代：总高＜4</w:t>
            </w:r>
            <w:r>
              <w:rPr>
                <w:rFonts w:ascii="宋体" w:hAnsi="宋体" w:eastAsia="宋体" w:cs="方正仿宋_GBK"/>
                <w:color w:val="000000" w:themeColor="text1"/>
                <w:kern w:val="0"/>
                <w:szCs w:val="21"/>
                <w14:textFill>
                  <w14:solidFill>
                    <w14:schemeClr w14:val="tx1"/>
                  </w14:solidFill>
                </w14:textFill>
              </w:rPr>
              <w:t>0</w:t>
            </w:r>
            <w:r>
              <w:rPr>
                <w:rFonts w:hint="eastAsia" w:ascii="宋体" w:hAnsi="宋体" w:eastAsia="宋体" w:cs="方正仿宋_GBK"/>
                <w:color w:val="000000" w:themeColor="text1"/>
                <w:kern w:val="0"/>
                <w:szCs w:val="21"/>
                <w14:textFill>
                  <w14:solidFill>
                    <w14:schemeClr w14:val="tx1"/>
                  </w14:solidFill>
                </w14:textFill>
              </w:rPr>
              <w:t>米</w:t>
            </w:r>
          </w:p>
        </w:tc>
        <w:tc>
          <w:tcPr>
            <w:tcW w:w="2515" w:type="dxa"/>
            <w:vAlign w:val="center"/>
          </w:tcPr>
          <w:p>
            <w:pPr>
              <w:autoSpaceDE w:val="0"/>
              <w:autoSpaceDN w:val="0"/>
              <w:adjustRightInd w:val="0"/>
              <w:jc w:val="center"/>
              <w:rPr>
                <w:rFonts w:ascii="宋体" w:hAnsi="宋体" w:eastAsia="宋体" w:cs="方正仿宋_GBK"/>
                <w:color w:val="000000" w:themeColor="text1"/>
                <w:kern w:val="0"/>
                <w:szCs w:val="21"/>
                <w14:textFill>
                  <w14:solidFill>
                    <w14:schemeClr w14:val="tx1"/>
                  </w14:solidFill>
                </w14:textFill>
              </w:rPr>
            </w:pPr>
            <w:r>
              <w:rPr>
                <w:rFonts w:hint="eastAsia" w:ascii="宋体" w:hAnsi="宋体" w:eastAsia="宋体" w:cs="方正仿宋_GBK"/>
                <w:color w:val="000000" w:themeColor="text1"/>
                <w:kern w:val="0"/>
                <w:szCs w:val="21"/>
                <w14:textFill>
                  <w14:solidFill>
                    <w14:schemeClr w14:val="tx1"/>
                  </w14:solidFill>
                </w14:textFill>
              </w:rPr>
              <w:t>593元</w:t>
            </w:r>
            <w:r>
              <w:rPr>
                <w:rFonts w:ascii="宋体" w:hAnsi="宋体" w:eastAsia="宋体" w:cs="方正仿宋_GBK"/>
                <w:color w:val="000000" w:themeColor="text1"/>
                <w:kern w:val="0"/>
                <w:szCs w:val="21"/>
                <w14:textFill>
                  <w14:solidFill>
                    <w14:schemeClr w14:val="tx1"/>
                  </w14:solidFill>
                </w14:textFill>
              </w:rPr>
              <w:t>/</w:t>
            </w:r>
            <w:r>
              <w:rPr>
                <w:rFonts w:hint="eastAsia" w:ascii="宋体" w:hAnsi="宋体" w:eastAsia="宋体" w:cs="方正仿宋_GBK"/>
                <w:color w:val="000000" w:themeColor="text1"/>
                <w:kern w:val="0"/>
                <w:szCs w:val="21"/>
                <w14:textFill>
                  <w14:solidFill>
                    <w14:schemeClr w14:val="tx1"/>
                  </w14:solidFill>
                </w14:textFill>
              </w:rPr>
              <w:t>座</w:t>
            </w:r>
          </w:p>
        </w:tc>
      </w:tr>
    </w:tbl>
    <w:p>
      <w:pPr>
        <w:jc w:val="left"/>
        <w:rPr>
          <w:rFonts w:cs="方正仿宋_GBK" w:asciiTheme="minorEastAsia" w:hAnsiTheme="minorEastAsia"/>
          <w:bCs/>
          <w:color w:val="000000" w:themeColor="text1"/>
          <w:szCs w:val="21"/>
          <w14:textFill>
            <w14:solidFill>
              <w14:schemeClr w14:val="tx1"/>
            </w14:solidFill>
          </w14:textFill>
        </w:rPr>
      </w:pPr>
    </w:p>
    <w:p>
      <w:pPr>
        <w:spacing w:line="360" w:lineRule="exact"/>
        <w:ind w:firstLine="420" w:firstLineChars="200"/>
        <w:jc w:val="left"/>
        <w:rPr>
          <w:rFonts w:ascii="方正黑体_GBK" w:eastAsia="方正黑体_GBK"/>
          <w:color w:val="000000" w:themeColor="text1"/>
          <w14:textFill>
            <w14:solidFill>
              <w14:schemeClr w14:val="tx1"/>
            </w14:solidFill>
          </w14:textFill>
        </w:rPr>
      </w:pPr>
      <w:r>
        <w:rPr>
          <w:rFonts w:hint="eastAsia" w:ascii="方正黑体_GBK" w:eastAsia="方正黑体_GBK"/>
          <w:color w:val="000000" w:themeColor="text1"/>
          <w14:textFill>
            <w14:solidFill>
              <w14:schemeClr w14:val="tx1"/>
            </w14:solidFill>
          </w14:textFill>
        </w:rPr>
        <w:t>注：拆除工程的赔付限额按附件3的A档执行。实际费率以保险机构向保险监管部门报备费率为准。</w:t>
      </w:r>
    </w:p>
    <w:p>
      <w:pPr>
        <w:spacing w:line="360" w:lineRule="exact"/>
        <w:rPr>
          <w:rFonts w:ascii="方正黑体_GBK" w:eastAsia="方正黑体_GBK"/>
          <w:color w:val="000000" w:themeColor="text1"/>
          <w14:textFill>
            <w14:solidFill>
              <w14:schemeClr w14:val="tx1"/>
            </w14:solidFill>
          </w14:textFill>
        </w:rPr>
      </w:pP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pStyle w:val="7"/>
        <w:shd w:val="clear" w:color="auto" w:fill="FFFFFF"/>
        <w:spacing w:before="0" w:beforeAutospacing="0" w:after="0" w:afterAutospacing="0" w:line="580" w:lineRule="exact"/>
        <w:ind w:firstLine="480"/>
        <w:textAlignment w:val="baseline"/>
        <w:rPr>
          <w:rFonts w:ascii="方正仿宋_GBK" w:hAnsi="Arial" w:eastAsia="方正仿宋_GBK" w:cs="Arial"/>
          <w:color w:val="000000" w:themeColor="text1"/>
          <w:sz w:val="32"/>
          <w:szCs w:val="32"/>
          <w14:textFill>
            <w14:solidFill>
              <w14:schemeClr w14:val="tx1"/>
            </w14:solidFill>
          </w14:textFill>
        </w:rPr>
      </w:pPr>
    </w:p>
    <w:p>
      <w:pPr>
        <w:spacing w:line="580" w:lineRule="exact"/>
        <w:rPr>
          <w:rFonts w:ascii="方正仿宋_GBK" w:eastAsia="方正仿宋_GBK"/>
          <w:color w:val="000000" w:themeColor="text1"/>
          <w:sz w:val="32"/>
          <w:szCs w:val="32"/>
          <w14:textFill>
            <w14:solidFill>
              <w14:schemeClr w14:val="tx1"/>
            </w14:solidFill>
          </w14:textFill>
        </w:rPr>
      </w:pPr>
    </w:p>
    <w:p>
      <w:pPr>
        <w:rPr>
          <w:rFonts w:ascii="方正小标宋_GBK" w:hAnsi="Times New Roman" w:eastAsia="方正小标宋_GBK" w:cs="方正仿宋_GBK"/>
          <w:bCs/>
          <w:color w:val="000000" w:themeColor="text1"/>
          <w:sz w:val="32"/>
          <w:szCs w:val="32"/>
          <w14:textFill>
            <w14:solidFill>
              <w14:schemeClr w14:val="tx1"/>
            </w14:solidFill>
          </w14:textFill>
        </w:rPr>
      </w:pPr>
    </w:p>
    <w:p>
      <w:pPr>
        <w:jc w:val="center"/>
        <w:rPr>
          <w:rFonts w:ascii="方正小标宋_GBK" w:hAnsi="Times New Roman" w:eastAsia="方正小标宋_GBK" w:cs="方正仿宋_GBK"/>
          <w:bCs/>
          <w:color w:val="000000" w:themeColor="text1"/>
          <w:sz w:val="32"/>
          <w:szCs w:val="32"/>
          <w14:textFill>
            <w14:solidFill>
              <w14:schemeClr w14:val="tx1"/>
            </w14:solidFill>
          </w14:textFill>
        </w:rPr>
      </w:pPr>
      <w:r>
        <w:rPr>
          <w:rFonts w:hint="eastAsia" w:ascii="方正小标宋_GBK" w:hAnsi="Times New Roman" w:eastAsia="方正小标宋_GBK" w:cs="方正仿宋_GBK"/>
          <w:bCs/>
          <w:color w:val="000000" w:themeColor="text1"/>
          <w:sz w:val="32"/>
          <w:szCs w:val="32"/>
          <w14:textFill>
            <w14:solidFill>
              <w14:schemeClr w14:val="tx1"/>
            </w14:solidFill>
          </w14:textFill>
        </w:rPr>
        <w:t>江苏省建设工程安责险参考费率表-（浮动费率系数）</w:t>
      </w:r>
    </w:p>
    <w:tbl>
      <w:tblPr>
        <w:tblStyle w:val="10"/>
        <w:tblW w:w="1002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851"/>
        <w:gridCol w:w="6049"/>
        <w:gridCol w:w="992"/>
        <w:gridCol w:w="11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2" w:hRule="atLeast"/>
          <w:jc w:val="center"/>
        </w:trPr>
        <w:tc>
          <w:tcPr>
            <w:tcW w:w="1851" w:type="dxa"/>
            <w:shd w:val="clear" w:color="auto" w:fill="auto"/>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调整系数</w:t>
            </w:r>
          </w:p>
        </w:tc>
        <w:tc>
          <w:tcPr>
            <w:tcW w:w="6049" w:type="dxa"/>
            <w:shd w:val="clear" w:color="auto" w:fill="auto"/>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具体构成指标</w:t>
            </w:r>
          </w:p>
        </w:tc>
        <w:tc>
          <w:tcPr>
            <w:tcW w:w="992" w:type="dxa"/>
            <w:shd w:val="clear" w:color="auto" w:fill="auto"/>
            <w:vAlign w:val="center"/>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系数</w:t>
            </w:r>
            <w:r>
              <w:rPr>
                <w:rFonts w:hint="eastAsia" w:ascii="方正黑体_GBK" w:hAnsi="方正黑体_GBK" w:eastAsia="方正黑体_GBK" w:cs="方正黑体_GBK"/>
                <w:color w:val="000000" w:themeColor="text1"/>
                <w:sz w:val="24"/>
                <w14:textFill>
                  <w14:solidFill>
                    <w14:schemeClr w14:val="tx1"/>
                  </w14:solidFill>
                </w14:textFill>
              </w:rPr>
              <w:br w:type="textWrapping"/>
            </w:r>
            <w:r>
              <w:rPr>
                <w:rFonts w:hint="eastAsia" w:ascii="方正黑体_GBK" w:hAnsi="方正黑体_GBK" w:eastAsia="方正黑体_GBK" w:cs="方正黑体_GBK"/>
                <w:color w:val="000000" w:themeColor="text1"/>
                <w:sz w:val="24"/>
                <w14:textFill>
                  <w14:solidFill>
                    <w14:schemeClr w14:val="tx1"/>
                  </w14:solidFill>
                </w14:textFill>
              </w:rPr>
              <w:t>数值</w:t>
            </w:r>
          </w:p>
        </w:tc>
        <w:tc>
          <w:tcPr>
            <w:tcW w:w="1134" w:type="dxa"/>
          </w:tcPr>
          <w:p>
            <w:pPr>
              <w:spacing w:line="320" w:lineRule="exact"/>
              <w:jc w:val="center"/>
              <w:rPr>
                <w:rFonts w:ascii="方正黑体_GBK" w:hAnsi="方正黑体_GBK" w:eastAsia="方正黑体_GBK" w:cs="方正黑体_GBK"/>
                <w:color w:val="000000" w:themeColor="text1"/>
                <w:sz w:val="24"/>
                <w14:textFill>
                  <w14:solidFill>
                    <w14:schemeClr w14:val="tx1"/>
                  </w14:solidFill>
                </w14:textFill>
              </w:rPr>
            </w:pPr>
            <w:r>
              <w:rPr>
                <w:rFonts w:hint="eastAsia" w:ascii="方正黑体_GBK" w:hAnsi="方正黑体_GBK" w:eastAsia="方正黑体_GBK" w:cs="方正黑体_GBK"/>
                <w:color w:val="000000" w:themeColor="text1"/>
                <w:sz w:val="24"/>
                <w14:textFill>
                  <w14:solidFill>
                    <w14:schemeClr w14:val="tx1"/>
                  </w14:solidFill>
                </w14:textFill>
              </w:rPr>
              <w:t>数据采集范围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4" w:hRule="atLeast"/>
          <w:jc w:val="center"/>
        </w:trPr>
        <w:tc>
          <w:tcPr>
            <w:tcW w:w="1851" w:type="dxa"/>
            <w:vMerge w:val="restart"/>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建筑施工企业安全生产标准化考评调整系数(a)</w:t>
            </w: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考评优良</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0.9</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全省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考评合格</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全省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57"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考评不合格</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1.1</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全省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3" w:hRule="atLeast"/>
          <w:jc w:val="center"/>
        </w:trPr>
        <w:tc>
          <w:tcPr>
            <w:tcW w:w="1851" w:type="dxa"/>
            <w:vMerge w:val="restart"/>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企业年度省标准化星级工地调整系数(b)</w:t>
            </w: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上年度企业获得省标准化星级工地比率≥80%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0.8</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80%＞上年度企业获得省标准化星级工地比率≥60%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0.85</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60%＞上年度企业获得省标准化星级工地比率≥40%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0.9</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5"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40%＞上年度企业获得省标准化星级工地比率≥20%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0.95</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4"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上年度企业获得省标准化星级工地比率＜20%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4" w:hRule="atLeast"/>
          <w:jc w:val="center"/>
        </w:trPr>
        <w:tc>
          <w:tcPr>
            <w:tcW w:w="1851" w:type="dxa"/>
            <w:vMerge w:val="restart"/>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企业上年度赔</w:t>
            </w:r>
            <w:r>
              <w:rPr>
                <w:rFonts w:hint="eastAsia" w:ascii="宋体" w:hAnsi="宋体" w:eastAsia="宋体" w:cs="Times New Roman"/>
                <w:color w:val="000000" w:themeColor="text1"/>
                <w:szCs w:val="21"/>
                <w14:textFill>
                  <w14:solidFill>
                    <w14:schemeClr w14:val="tx1"/>
                  </w14:solidFill>
                </w14:textFill>
              </w:rPr>
              <w:br w:type="textWrapping"/>
            </w:r>
            <w:r>
              <w:rPr>
                <w:rFonts w:hint="eastAsia" w:ascii="宋体" w:hAnsi="宋体" w:eastAsia="宋体" w:cs="Times New Roman"/>
                <w:color w:val="000000" w:themeColor="text1"/>
                <w:szCs w:val="21"/>
                <w14:textFill>
                  <w14:solidFill>
                    <w14:schemeClr w14:val="tx1"/>
                  </w14:solidFill>
                </w14:textFill>
              </w:rPr>
              <w:t>付率调整系(c)</w:t>
            </w: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0.9</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4"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0＜企业上年度赔付率≤20%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0.95</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4"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20＜企业上年度赔付率≤40%及新增保企业</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4"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40＜企业上年度赔付率≤60%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1.05</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3"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企业上年度赔付率＞60%</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1.1</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3" w:hRule="atLeast"/>
          <w:jc w:val="center"/>
        </w:trPr>
        <w:tc>
          <w:tcPr>
            <w:tcW w:w="1851" w:type="dxa"/>
            <w:vMerge w:val="restart"/>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企业建筑安全</w:t>
            </w:r>
            <w:r>
              <w:rPr>
                <w:rFonts w:hint="eastAsia" w:ascii="宋体" w:hAnsi="宋体" w:eastAsia="宋体" w:cs="Times New Roman"/>
                <w:color w:val="000000" w:themeColor="text1"/>
                <w:szCs w:val="21"/>
                <w14:textFill>
                  <w14:solidFill>
                    <w14:schemeClr w14:val="tx1"/>
                  </w14:solidFill>
                </w14:textFill>
              </w:rPr>
              <w:br w:type="textWrapping"/>
            </w:r>
            <w:r>
              <w:rPr>
                <w:rFonts w:hint="eastAsia" w:ascii="宋体" w:hAnsi="宋体" w:eastAsia="宋体" w:cs="Times New Roman"/>
                <w:color w:val="000000" w:themeColor="text1"/>
                <w:szCs w:val="21"/>
                <w14:textFill>
                  <w14:solidFill>
                    <w14:schemeClr w14:val="tx1"/>
                  </w14:solidFill>
                </w14:textFill>
              </w:rPr>
              <w:t>事故调整系数(d)</w:t>
            </w: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投保前连续3年未发生亡人事故</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0.9</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3" w:hRule="atLeast"/>
          <w:jc w:val="center"/>
        </w:trPr>
        <w:tc>
          <w:tcPr>
            <w:tcW w:w="1851" w:type="dxa"/>
            <w:vMerge w:val="continue"/>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上年度发生1起一般级别亡人事故，亡人数为1</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1.1</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3" w:hRule="atLeast"/>
          <w:jc w:val="center"/>
        </w:trPr>
        <w:tc>
          <w:tcPr>
            <w:tcW w:w="1851" w:type="dxa"/>
            <w:vMerge w:val="continue"/>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上年度发生1起一般级别亡人事故，亡人数为2</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1.2</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3"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上年度发生2起一般级别亡人事故</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1.3</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3" w:hRule="atLeast"/>
          <w:jc w:val="center"/>
        </w:trPr>
        <w:tc>
          <w:tcPr>
            <w:tcW w:w="1851" w:type="dxa"/>
            <w:vMerge w:val="continue"/>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p>
        </w:tc>
        <w:tc>
          <w:tcPr>
            <w:tcW w:w="6049"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上年度发生3起以上一般级别亡人事故或发生较大及以上级别亡人事故</w:t>
            </w:r>
          </w:p>
        </w:tc>
        <w:tc>
          <w:tcPr>
            <w:tcW w:w="992" w:type="dxa"/>
            <w:shd w:val="clear" w:color="auto" w:fill="auto"/>
            <w:vAlign w:val="center"/>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1.5</w:t>
            </w:r>
          </w:p>
        </w:tc>
        <w:tc>
          <w:tcPr>
            <w:tcW w:w="1134" w:type="dxa"/>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设区市</w:t>
            </w:r>
          </w:p>
        </w:tc>
      </w:tr>
    </w:tbl>
    <w:p>
      <w:pPr>
        <w:spacing w:line="360" w:lineRule="exact"/>
        <w:ind w:firstLine="420" w:firstLineChars="200"/>
        <w:jc w:val="left"/>
        <w:rPr>
          <w:rFonts w:ascii="方正黑体_GBK" w:eastAsia="方正黑体_GBK"/>
          <w:color w:val="000000" w:themeColor="text1"/>
          <w14:textFill>
            <w14:solidFill>
              <w14:schemeClr w14:val="tx1"/>
            </w14:solidFill>
          </w14:textFill>
        </w:rPr>
      </w:pPr>
    </w:p>
    <w:p>
      <w:pPr>
        <w:spacing w:line="360" w:lineRule="exact"/>
        <w:ind w:firstLine="420" w:firstLineChars="200"/>
        <w:jc w:val="left"/>
        <w:rPr>
          <w:rFonts w:ascii="方正黑体_GBK" w:eastAsia="方正黑体_GBK"/>
          <w:color w:val="000000" w:themeColor="text1"/>
          <w14:textFill>
            <w14:solidFill>
              <w14:schemeClr w14:val="tx1"/>
            </w14:solidFill>
          </w14:textFill>
        </w:rPr>
      </w:pPr>
      <w:r>
        <w:rPr>
          <w:rFonts w:hint="eastAsia" w:ascii="方正黑体_GBK" w:eastAsia="方正黑体_GBK"/>
          <w:color w:val="000000" w:themeColor="text1"/>
          <w14:textFill>
            <w14:solidFill>
              <w14:schemeClr w14:val="tx1"/>
            </w14:solidFill>
          </w14:textFill>
        </w:rPr>
        <w:t>注：1.应缴保费=建设工程项目总造价（中标价或合同价）×执行费率×浮动费率系数；浮动费率系数构成原则上由设区市参照上表自行制定，浮动费率系数为上述a b c d累积系数。2.企业年度安全生产标准化考评情况以省住房城乡建设厅相关文件为准。3.企业年度省标准化星级工地调整系数=上年度获得省标准化星级工地数/上年度在建项目数量。4.建筑安全事故等级按《生产安全事故报告和调查处理条例》相关规定执行。5.企业赔付率=企业年度赔付金额/企业年度保费。</w:t>
      </w:r>
    </w:p>
    <w:p>
      <w:pPr>
        <w:rPr>
          <w:rFonts w:ascii="方正黑体_GBK" w:hAnsi="方正黑体_GBK" w:eastAsia="方正黑体_GBK" w:cs="方正黑体_GBK"/>
          <w:bCs/>
          <w:color w:val="000000" w:themeColor="text1"/>
          <w:sz w:val="32"/>
          <w:szCs w:val="32"/>
          <w14:textFill>
            <w14:solidFill>
              <w14:schemeClr w14:val="tx1"/>
            </w14:solidFill>
          </w14:textFill>
        </w:rPr>
      </w:pPr>
    </w:p>
    <w:p>
      <w:pPr>
        <w:rPr>
          <w:rFonts w:ascii="方正黑体_GBK" w:hAnsi="方正黑体_GBK" w:eastAsia="方正黑体_GBK" w:cs="方正黑体_GBK"/>
          <w:bCs/>
          <w:color w:val="000000" w:themeColor="text1"/>
          <w:sz w:val="32"/>
          <w:szCs w:val="32"/>
          <w14:textFill>
            <w14:solidFill>
              <w14:schemeClr w14:val="tx1"/>
            </w14:solidFill>
          </w14:textFill>
        </w:rPr>
      </w:pPr>
    </w:p>
    <w:p>
      <w:pPr>
        <w:rPr>
          <w:rFonts w:ascii="方正黑体_GBK" w:hAnsi="方正黑体_GBK" w:eastAsia="方正黑体_GBK" w:cs="方正黑体_GBK"/>
          <w:bCs/>
          <w:color w:val="000000" w:themeColor="text1"/>
          <w:sz w:val="32"/>
          <w:szCs w:val="32"/>
          <w14:textFill>
            <w14:solidFill>
              <w14:schemeClr w14:val="tx1"/>
            </w14:solidFill>
          </w14:textFill>
        </w:rPr>
      </w:pPr>
    </w:p>
    <w:p>
      <w:pPr>
        <w:rPr>
          <w:rFonts w:ascii="方正黑体_GBK" w:hAnsi="方正黑体_GBK" w:eastAsia="方正黑体_GBK" w:cs="方正黑体_GBK"/>
          <w:bCs/>
          <w:color w:val="000000" w:themeColor="text1"/>
          <w:sz w:val="32"/>
          <w:szCs w:val="32"/>
          <w14:textFill>
            <w14:solidFill>
              <w14:schemeClr w14:val="tx1"/>
            </w14:solidFill>
          </w14:textFill>
        </w:rPr>
      </w:pPr>
    </w:p>
    <w:p>
      <w:pPr>
        <w:rPr>
          <w:rFonts w:ascii="方正黑体_GBK" w:hAnsi="方正黑体_GBK" w:eastAsia="方正黑体_GBK" w:cs="方正黑体_GBK"/>
          <w:bCs/>
          <w:color w:val="000000" w:themeColor="text1"/>
          <w:sz w:val="32"/>
          <w:szCs w:val="32"/>
          <w14:textFill>
            <w14:solidFill>
              <w14:schemeClr w14:val="tx1"/>
            </w14:solidFill>
          </w14:textFill>
        </w:rPr>
      </w:pPr>
    </w:p>
    <w:p>
      <w:pPr>
        <w:rPr>
          <w:rFonts w:ascii="Times New Roman" w:hAnsi="Times New Roman" w:cs="Times New Roman"/>
          <w:bCs/>
          <w:color w:val="000000" w:themeColor="text1"/>
          <w:sz w:val="32"/>
          <w:szCs w:val="32"/>
          <w14:textFill>
            <w14:solidFill>
              <w14:schemeClr w14:val="tx1"/>
            </w14:solidFill>
          </w14:textFill>
        </w:rPr>
      </w:pPr>
      <w:r>
        <w:rPr>
          <w:rFonts w:hint="eastAsia" w:ascii="方正黑体_GBK" w:hAnsi="方正黑体_GBK" w:eastAsia="方正黑体_GBK" w:cs="方正黑体_GBK"/>
          <w:bCs/>
          <w:color w:val="000000" w:themeColor="text1"/>
          <w:sz w:val="32"/>
          <w:szCs w:val="32"/>
          <w14:textFill>
            <w14:solidFill>
              <w14:schemeClr w14:val="tx1"/>
            </w14:solidFill>
          </w14:textFill>
        </w:rPr>
        <w:t>附件</w:t>
      </w:r>
      <w:r>
        <w:rPr>
          <w:rFonts w:hint="eastAsia" w:ascii="Times New Roman" w:hAnsi="Times New Roman" w:cs="Times New Roman"/>
          <w:bCs/>
          <w:color w:val="000000" w:themeColor="text1"/>
          <w:sz w:val="32"/>
          <w:szCs w:val="32"/>
          <w14:textFill>
            <w14:solidFill>
              <w14:schemeClr w14:val="tx1"/>
            </w14:solidFill>
          </w14:textFill>
        </w:rPr>
        <w:t>3</w:t>
      </w:r>
    </w:p>
    <w:p>
      <w:pPr>
        <w:rPr>
          <w:rFonts w:ascii="Times New Roman" w:hAnsi="Times New Roman" w:cs="Times New Roman"/>
          <w:bCs/>
          <w:color w:val="000000" w:themeColor="text1"/>
          <w:sz w:val="32"/>
          <w:szCs w:val="32"/>
          <w14:textFill>
            <w14:solidFill>
              <w14:schemeClr w14:val="tx1"/>
            </w14:solidFill>
          </w14:textFill>
        </w:rPr>
      </w:pPr>
    </w:p>
    <w:p>
      <w:pPr>
        <w:spacing w:line="570" w:lineRule="exact"/>
        <w:jc w:val="center"/>
        <w:rPr>
          <w:rFonts w:ascii="Times New Roman" w:hAnsi="Times New Roman" w:eastAsia="方正小标宋_GBK" w:cs="方正小标宋_GBK"/>
          <w:bCs/>
          <w:color w:val="000000" w:themeColor="text1"/>
          <w:sz w:val="36"/>
          <w:szCs w:val="36"/>
          <w14:textFill>
            <w14:solidFill>
              <w14:schemeClr w14:val="tx1"/>
            </w14:solidFill>
          </w14:textFill>
        </w:rPr>
      </w:pPr>
      <w:r>
        <w:rPr>
          <w:rFonts w:hint="eastAsia" w:ascii="Times New Roman" w:hAnsi="Times New Roman" w:eastAsia="方正小标宋_GBK" w:cs="方正小标宋_GBK"/>
          <w:bCs/>
          <w:color w:val="000000" w:themeColor="text1"/>
          <w:sz w:val="36"/>
          <w:szCs w:val="36"/>
          <w14:textFill>
            <w14:solidFill>
              <w14:schemeClr w14:val="tx1"/>
            </w14:solidFill>
          </w14:textFill>
        </w:rPr>
        <w:t>江苏省建筑施工安责险赔付限额说明</w:t>
      </w:r>
    </w:p>
    <w:p>
      <w:pPr>
        <w:ind w:firstLine="560" w:firstLineChars="200"/>
        <w:jc w:val="left"/>
        <w:rPr>
          <w:rFonts w:ascii="FZFSK--GBK1-0" w:hAnsi="FZFSK--GBK1-0" w:eastAsia="FZFSK--GBK1-0"/>
          <w:color w:val="000000" w:themeColor="text1"/>
          <w:sz w:val="28"/>
          <w:szCs w:val="28"/>
          <w14:textFill>
            <w14:solidFill>
              <w14:schemeClr w14:val="tx1"/>
            </w14:solidFill>
          </w14:textFill>
        </w:rPr>
      </w:pPr>
    </w:p>
    <w:p>
      <w:pPr>
        <w:spacing w:line="520" w:lineRule="exact"/>
        <w:ind w:firstLine="560" w:firstLineChars="200"/>
        <w:jc w:val="left"/>
        <w:rPr>
          <w:rFonts w:ascii="方正仿宋_GBK" w:hAnsi="FZFSK--GBK1-0" w:eastAsia="方正仿宋_GBK"/>
          <w:color w:val="000000" w:themeColor="text1"/>
          <w:sz w:val="28"/>
          <w:szCs w:val="28"/>
          <w14:textFill>
            <w14:solidFill>
              <w14:schemeClr w14:val="tx1"/>
            </w14:solidFill>
          </w14:textFill>
        </w:rPr>
      </w:pPr>
      <w:r>
        <w:rPr>
          <w:rFonts w:hint="eastAsia" w:ascii="方正仿宋_GBK" w:hAnsi="FZFSK--GBK1-0" w:eastAsia="方正仿宋_GBK"/>
          <w:color w:val="000000" w:themeColor="text1"/>
          <w:sz w:val="28"/>
          <w:szCs w:val="28"/>
          <w14:textFill>
            <w14:solidFill>
              <w14:schemeClr w14:val="tx1"/>
            </w14:solidFill>
          </w14:textFill>
        </w:rPr>
        <w:t>保险机构共保体执行合同约定的安责险赔付限额，赔付限额可分</w:t>
      </w:r>
      <w:r>
        <w:rPr>
          <w:rFonts w:ascii="方正仿宋_GBK" w:hAnsi="FZFSK--GBK1-0" w:eastAsia="方正仿宋_GBK"/>
          <w:color w:val="000000" w:themeColor="text1"/>
          <w:sz w:val="28"/>
          <w:szCs w:val="28"/>
          <w14:textFill>
            <w14:solidFill>
              <w14:schemeClr w14:val="tx1"/>
            </w14:solidFill>
          </w14:textFill>
        </w:rPr>
        <w:t>A档、B档</w:t>
      </w:r>
      <w:r>
        <w:rPr>
          <w:rFonts w:hint="eastAsia" w:ascii="方正仿宋_GBK" w:hAnsi="FZFSK--GBK1-0" w:eastAsia="方正仿宋_GBK"/>
          <w:color w:val="000000" w:themeColor="text1"/>
          <w:sz w:val="28"/>
          <w:szCs w:val="28"/>
          <w14:textFill>
            <w14:solidFill>
              <w14:schemeClr w14:val="tx1"/>
            </w14:solidFill>
          </w14:textFill>
        </w:rPr>
        <w:t>。</w:t>
      </w:r>
    </w:p>
    <w:p>
      <w:pPr>
        <w:spacing w:line="520" w:lineRule="exact"/>
        <w:ind w:firstLine="560" w:firstLineChars="200"/>
        <w:rPr>
          <w:rFonts w:ascii="方正仿宋_GBK" w:hAnsi="FZFSK--GBK1-0" w:eastAsia="方正仿宋_GBK"/>
          <w:color w:val="000000" w:themeColor="text1"/>
          <w:sz w:val="28"/>
          <w:szCs w:val="28"/>
          <w14:textFill>
            <w14:solidFill>
              <w14:schemeClr w14:val="tx1"/>
            </w14:solidFill>
          </w14:textFill>
        </w:rPr>
      </w:pPr>
      <w:r>
        <w:rPr>
          <w:rFonts w:hint="eastAsia" w:ascii="方正仿宋_GBK" w:hAnsi="FZFSK--GBK1-0" w:eastAsia="方正仿宋_GBK"/>
          <w:color w:val="000000" w:themeColor="text1"/>
          <w:sz w:val="28"/>
          <w:szCs w:val="28"/>
          <w14:textFill>
            <w14:solidFill>
              <w14:schemeClr w14:val="tx1"/>
            </w14:solidFill>
          </w14:textFill>
        </w:rPr>
        <w:t>A档：每次事故</w:t>
      </w:r>
      <w:r>
        <w:rPr>
          <w:rFonts w:ascii="方正仿宋_GBK" w:hAnsi="FZFSK--GBK1-0" w:eastAsia="方正仿宋_GBK"/>
          <w:color w:val="000000" w:themeColor="text1"/>
          <w:sz w:val="28"/>
          <w:szCs w:val="28"/>
          <w14:textFill>
            <w14:solidFill>
              <w14:schemeClr w14:val="tx1"/>
            </w14:solidFill>
          </w14:textFill>
        </w:rPr>
        <w:t>/累计赔偿限额为1000万元（含人员伤亡和第三者财产损失）。其中，人员伤亡部分为每次事故每人赔偿限额50万元，医疗费用赔偿限额</w:t>
      </w:r>
      <w:r>
        <w:rPr>
          <w:rFonts w:hint="eastAsia" w:ascii="方正仿宋_GBK" w:hAnsi="FZFSK--GBK1-0" w:eastAsia="方正仿宋_GBK"/>
          <w:color w:val="000000" w:themeColor="text1"/>
          <w:sz w:val="28"/>
          <w:szCs w:val="28"/>
          <w14:textFill>
            <w14:solidFill>
              <w14:schemeClr w14:val="tx1"/>
            </w14:solidFill>
          </w14:textFill>
        </w:rPr>
        <w:t>15</w:t>
      </w:r>
      <w:r>
        <w:rPr>
          <w:rFonts w:ascii="方正仿宋_GBK" w:hAnsi="FZFSK--GBK1-0" w:eastAsia="方正仿宋_GBK"/>
          <w:color w:val="000000" w:themeColor="text1"/>
          <w:sz w:val="28"/>
          <w:szCs w:val="28"/>
          <w14:textFill>
            <w14:solidFill>
              <w14:schemeClr w14:val="tx1"/>
            </w14:solidFill>
          </w14:textFill>
        </w:rPr>
        <w:t xml:space="preserve">万元，第三者财产部分的财产损失赔付不超过保单累计赔偿限额的30%（人员伤亡部分赔偿金额达到1000 万元的，不再赔付第三者财产损失）； </w:t>
      </w:r>
    </w:p>
    <w:p>
      <w:pPr>
        <w:spacing w:line="520" w:lineRule="exact"/>
        <w:ind w:firstLine="560" w:firstLineChars="200"/>
        <w:rPr>
          <w:rFonts w:ascii="方正仿宋_GBK" w:hAnsi="FZFSK--GBK1-0" w:eastAsia="方正仿宋_GBK"/>
          <w:color w:val="000000" w:themeColor="text1"/>
          <w:sz w:val="28"/>
          <w:szCs w:val="28"/>
          <w14:textFill>
            <w14:solidFill>
              <w14:schemeClr w14:val="tx1"/>
            </w14:solidFill>
          </w14:textFill>
        </w:rPr>
      </w:pPr>
      <w:r>
        <w:rPr>
          <w:rFonts w:hint="eastAsia" w:ascii="方正仿宋_GBK" w:hAnsi="FZFSK--GBK1-0" w:eastAsia="方正仿宋_GBK"/>
          <w:color w:val="000000" w:themeColor="text1"/>
          <w:sz w:val="28"/>
          <w:szCs w:val="28"/>
          <w14:textFill>
            <w14:solidFill>
              <w14:schemeClr w14:val="tx1"/>
            </w14:solidFill>
          </w14:textFill>
        </w:rPr>
        <w:t>B</w:t>
      </w:r>
      <w:r>
        <w:rPr>
          <w:rFonts w:ascii="方正仿宋_GBK" w:hAnsi="FZFSK--GBK1-0" w:eastAsia="方正仿宋_GBK"/>
          <w:color w:val="000000" w:themeColor="text1"/>
          <w:sz w:val="28"/>
          <w:szCs w:val="28"/>
          <w14:textFill>
            <w14:solidFill>
              <w14:schemeClr w14:val="tx1"/>
            </w14:solidFill>
          </w14:textFill>
        </w:rPr>
        <w:t>档：</w:t>
      </w:r>
      <w:r>
        <w:rPr>
          <w:rFonts w:hint="eastAsia" w:ascii="方正仿宋_GBK" w:hAnsi="FZFSK--GBK1-0" w:eastAsia="方正仿宋_GBK"/>
          <w:color w:val="000000" w:themeColor="text1"/>
          <w:sz w:val="28"/>
          <w:szCs w:val="28"/>
          <w14:textFill>
            <w14:solidFill>
              <w14:schemeClr w14:val="tx1"/>
            </w14:solidFill>
          </w14:textFill>
        </w:rPr>
        <w:t>每次事故</w:t>
      </w:r>
      <w:r>
        <w:rPr>
          <w:rFonts w:ascii="方正仿宋_GBK" w:hAnsi="TimesNewRomanPSMT" w:eastAsia="方正仿宋_GBK"/>
          <w:color w:val="000000" w:themeColor="text1"/>
          <w:sz w:val="28"/>
          <w:szCs w:val="28"/>
          <w14:textFill>
            <w14:solidFill>
              <w14:schemeClr w14:val="tx1"/>
            </w14:solidFill>
          </w14:textFill>
        </w:rPr>
        <w:t>/</w:t>
      </w:r>
      <w:r>
        <w:rPr>
          <w:rFonts w:hint="eastAsia" w:ascii="方正仿宋_GBK" w:hAnsi="FZFSK--GBK1-0" w:eastAsia="方正仿宋_GBK"/>
          <w:color w:val="000000" w:themeColor="text1"/>
          <w:sz w:val="28"/>
          <w:szCs w:val="28"/>
          <w14:textFill>
            <w14:solidFill>
              <w14:schemeClr w14:val="tx1"/>
            </w14:solidFill>
          </w14:textFill>
        </w:rPr>
        <w:t>累计赔偿限额不低于</w:t>
      </w:r>
      <w:r>
        <w:rPr>
          <w:rFonts w:ascii="方正仿宋_GBK" w:hAnsi="FZFSK--GBK1-0" w:eastAsia="方正仿宋_GBK"/>
          <w:color w:val="000000" w:themeColor="text1"/>
          <w:sz w:val="28"/>
          <w:szCs w:val="28"/>
          <w14:textFill>
            <w14:solidFill>
              <w14:schemeClr w14:val="tx1"/>
            </w14:solidFill>
          </w14:textFill>
        </w:rPr>
        <w:t>6</w:t>
      </w:r>
      <w:r>
        <w:rPr>
          <w:rFonts w:ascii="方正仿宋_GBK" w:hAnsi="TimesNewRomanPSMT" w:eastAsia="方正仿宋_GBK"/>
          <w:color w:val="000000" w:themeColor="text1"/>
          <w:sz w:val="28"/>
          <w:szCs w:val="28"/>
          <w14:textFill>
            <w14:solidFill>
              <w14:schemeClr w14:val="tx1"/>
            </w14:solidFill>
          </w14:textFill>
        </w:rPr>
        <w:t xml:space="preserve">00 </w:t>
      </w:r>
      <w:r>
        <w:rPr>
          <w:rFonts w:hint="eastAsia" w:ascii="方正仿宋_GBK" w:hAnsi="FZFSK--GBK1-0" w:eastAsia="方正仿宋_GBK"/>
          <w:color w:val="000000" w:themeColor="text1"/>
          <w:sz w:val="28"/>
          <w:szCs w:val="28"/>
          <w14:textFill>
            <w14:solidFill>
              <w14:schemeClr w14:val="tx1"/>
            </w14:solidFill>
          </w14:textFill>
        </w:rPr>
        <w:t>万元（含人员伤亡和第三者财产损失）。其中，</w:t>
      </w:r>
      <w:r>
        <w:rPr>
          <w:rFonts w:hint="eastAsia" w:ascii="Times New Roman" w:hAnsi="Times New Roman" w:eastAsia="方正仿宋_GBK" w:cs="方正仿宋_GBK"/>
          <w:bCs/>
          <w:color w:val="000000" w:themeColor="text1"/>
          <w:sz w:val="28"/>
          <w:szCs w:val="28"/>
          <w14:textFill>
            <w14:solidFill>
              <w14:schemeClr w14:val="tx1"/>
            </w14:solidFill>
          </w14:textFill>
        </w:rPr>
        <w:t>人员伤亡部</w:t>
      </w:r>
      <w:r>
        <w:rPr>
          <w:rFonts w:hint="eastAsia" w:ascii="方正仿宋_GBK" w:hAnsi="FZFSK--GBK1-0" w:eastAsia="方正仿宋_GBK"/>
          <w:color w:val="000000" w:themeColor="text1"/>
          <w:sz w:val="28"/>
          <w:szCs w:val="28"/>
          <w14:textFill>
            <w14:solidFill>
              <w14:schemeClr w14:val="tx1"/>
            </w14:solidFill>
          </w14:textFill>
        </w:rPr>
        <w:t>分每次事故每人赔付限额</w:t>
      </w:r>
      <w:r>
        <w:rPr>
          <w:rFonts w:ascii="方正仿宋_GBK" w:hAnsi="FZFSK--GBK1-0" w:eastAsia="方正仿宋_GBK"/>
          <w:color w:val="000000" w:themeColor="text1"/>
          <w:sz w:val="28"/>
          <w:szCs w:val="28"/>
          <w14:textFill>
            <w14:solidFill>
              <w14:schemeClr w14:val="tx1"/>
            </w14:solidFill>
          </w14:textFill>
        </w:rPr>
        <w:t>30</w:t>
      </w:r>
      <w:r>
        <w:rPr>
          <w:rFonts w:hint="eastAsia" w:ascii="方正仿宋_GBK" w:hAnsi="FZFSK--GBK1-0" w:eastAsia="方正仿宋_GBK"/>
          <w:color w:val="000000" w:themeColor="text1"/>
          <w:sz w:val="28"/>
          <w:szCs w:val="28"/>
          <w14:textFill>
            <w14:solidFill>
              <w14:schemeClr w14:val="tx1"/>
            </w14:solidFill>
          </w14:textFill>
        </w:rPr>
        <w:t>万元；医疗费用赔偿限额10万元，第三者财产部分的财产损失付不得超过保单累计赔偿限额的30%（人员伤亡部分赔偿金额达到600万元的，不再赔付第三者财产损失）；</w:t>
      </w:r>
    </w:p>
    <w:p>
      <w:pPr>
        <w:widowControl/>
        <w:spacing w:line="520" w:lineRule="exact"/>
        <w:ind w:firstLine="560" w:firstLineChars="200"/>
        <w:jc w:val="left"/>
        <w:rPr>
          <w:rFonts w:ascii="方正仿宋_GBK" w:hAnsi="FZFSK--GBK1-0" w:eastAsia="方正仿宋_GBK"/>
          <w:color w:val="000000" w:themeColor="text1"/>
          <w:sz w:val="28"/>
          <w:szCs w:val="28"/>
          <w14:textFill>
            <w14:solidFill>
              <w14:schemeClr w14:val="tx1"/>
            </w14:solidFill>
          </w14:textFill>
        </w:rPr>
      </w:pPr>
      <w:r>
        <w:rPr>
          <w:rFonts w:hint="eastAsia" w:ascii="方正仿宋_GBK" w:hAnsi="FZFSK--GBK1-0" w:eastAsia="方正仿宋_GBK"/>
          <w:color w:val="000000" w:themeColor="text1"/>
          <w:sz w:val="28"/>
          <w:szCs w:val="28"/>
          <w14:textFill>
            <w14:solidFill>
              <w14:schemeClr w14:val="tx1"/>
            </w14:solidFill>
          </w14:textFill>
        </w:rPr>
        <w:t>每次事故</w:t>
      </w:r>
      <w:r>
        <w:rPr>
          <w:rFonts w:ascii="方正仿宋_GBK" w:hAnsi="FZFSK--GBK1-0" w:eastAsia="方正仿宋_GBK"/>
          <w:color w:val="000000" w:themeColor="text1"/>
          <w:sz w:val="28"/>
          <w:szCs w:val="28"/>
          <w14:textFill>
            <w14:solidFill>
              <w14:schemeClr w14:val="tx1"/>
            </w14:solidFill>
          </w14:textFill>
        </w:rPr>
        <w:t xml:space="preserve">/累计抢救施救费用赔偿限额：100万元； </w:t>
      </w:r>
    </w:p>
    <w:p>
      <w:pPr>
        <w:widowControl/>
        <w:spacing w:line="520" w:lineRule="exact"/>
        <w:ind w:firstLine="560" w:firstLineChars="200"/>
        <w:jc w:val="left"/>
        <w:rPr>
          <w:rFonts w:ascii="方正仿宋_GBK" w:hAnsi="FZFSK--GBK1-0" w:eastAsia="方正仿宋_GBK"/>
          <w:color w:val="000000" w:themeColor="text1"/>
          <w:sz w:val="28"/>
          <w:szCs w:val="28"/>
          <w14:textFill>
            <w14:solidFill>
              <w14:schemeClr w14:val="tx1"/>
            </w14:solidFill>
          </w14:textFill>
        </w:rPr>
      </w:pPr>
      <w:r>
        <w:rPr>
          <w:rFonts w:hint="eastAsia" w:ascii="方正仿宋_GBK" w:hAnsi="FZFSK--GBK1-0" w:eastAsia="方正仿宋_GBK"/>
          <w:color w:val="000000" w:themeColor="text1"/>
          <w:sz w:val="28"/>
          <w:szCs w:val="28"/>
          <w14:textFill>
            <w14:solidFill>
              <w14:schemeClr w14:val="tx1"/>
            </w14:solidFill>
          </w14:textFill>
        </w:rPr>
        <w:t>每次事故</w:t>
      </w:r>
      <w:r>
        <w:rPr>
          <w:rFonts w:ascii="方正仿宋_GBK" w:hAnsi="FZFSK--GBK1-0" w:eastAsia="方正仿宋_GBK"/>
          <w:color w:val="000000" w:themeColor="text1"/>
          <w:sz w:val="28"/>
          <w:szCs w:val="28"/>
          <w14:textFill>
            <w14:solidFill>
              <w14:schemeClr w14:val="tx1"/>
            </w14:solidFill>
          </w14:textFill>
        </w:rPr>
        <w:t xml:space="preserve">/累计相关诉讼等法律费用赔偿限额：50万元； </w:t>
      </w:r>
    </w:p>
    <w:p>
      <w:pPr>
        <w:widowControl/>
        <w:spacing w:line="520" w:lineRule="exact"/>
        <w:ind w:firstLine="560" w:firstLineChars="200"/>
        <w:jc w:val="left"/>
        <w:rPr>
          <w:rFonts w:ascii="方正仿宋_GBK" w:hAnsi="FZFSK--GBK1-0" w:eastAsia="方正仿宋_GBK"/>
          <w:color w:val="000000" w:themeColor="text1"/>
          <w:sz w:val="28"/>
          <w:szCs w:val="28"/>
          <w14:textFill>
            <w14:solidFill>
              <w14:schemeClr w14:val="tx1"/>
            </w14:solidFill>
          </w14:textFill>
        </w:rPr>
      </w:pPr>
      <w:r>
        <w:rPr>
          <w:rFonts w:hint="eastAsia" w:ascii="方正仿宋_GBK" w:hAnsi="FZFSK--GBK1-0" w:eastAsia="方正仿宋_GBK"/>
          <w:color w:val="000000" w:themeColor="text1"/>
          <w:sz w:val="28"/>
          <w:szCs w:val="28"/>
          <w14:textFill>
            <w14:solidFill>
              <w14:schemeClr w14:val="tx1"/>
            </w14:solidFill>
          </w14:textFill>
        </w:rPr>
        <w:t>在每人每次赔偿限额内，赔偿应由投保企业承担但工伤保险不予赔偿的部分，包括医疗费用（赔偿限额</w:t>
      </w:r>
      <w:r>
        <w:rPr>
          <w:rFonts w:ascii="方正仿宋_GBK" w:hAnsi="FZFSK--GBK1-0" w:eastAsia="方正仿宋_GBK"/>
          <w:color w:val="000000" w:themeColor="text1"/>
          <w:sz w:val="28"/>
          <w:szCs w:val="28"/>
          <w14:textFill>
            <w14:solidFill>
              <w14:schemeClr w14:val="tx1"/>
            </w14:solidFill>
          </w14:textFill>
        </w:rPr>
        <w:t xml:space="preserve"> A档15万元或B 档10万元），一次性工伤医疗补助金和一次性伤残补助金、一次性伤残就业补助金（赔偿限额 A档</w:t>
      </w:r>
      <w:r>
        <w:rPr>
          <w:rFonts w:hint="eastAsia" w:ascii="方正仿宋_GBK" w:hAnsi="FZFSK--GBK1-0" w:eastAsia="方正仿宋_GBK"/>
          <w:color w:val="000000" w:themeColor="text1"/>
          <w:sz w:val="28"/>
          <w:szCs w:val="28"/>
          <w14:textFill>
            <w14:solidFill>
              <w14:schemeClr w14:val="tx1"/>
            </w14:solidFill>
          </w14:textFill>
        </w:rPr>
        <w:t>5</w:t>
      </w:r>
      <w:r>
        <w:rPr>
          <w:rFonts w:ascii="方正仿宋_GBK" w:hAnsi="FZFSK--GBK1-0" w:eastAsia="方正仿宋_GBK"/>
          <w:color w:val="000000" w:themeColor="text1"/>
          <w:sz w:val="28"/>
          <w:szCs w:val="28"/>
          <w14:textFill>
            <w14:solidFill>
              <w14:schemeClr w14:val="tx1"/>
            </w14:solidFill>
          </w14:textFill>
        </w:rPr>
        <w:t>0万元或B档</w:t>
      </w:r>
      <w:r>
        <w:rPr>
          <w:rFonts w:hint="eastAsia" w:ascii="方正仿宋_GBK" w:hAnsi="FZFSK--GBK1-0" w:eastAsia="方正仿宋_GBK"/>
          <w:color w:val="000000" w:themeColor="text1"/>
          <w:sz w:val="28"/>
          <w:szCs w:val="28"/>
          <w14:textFill>
            <w14:solidFill>
              <w14:schemeClr w14:val="tx1"/>
            </w14:solidFill>
          </w14:textFill>
        </w:rPr>
        <w:t>3</w:t>
      </w:r>
      <w:r>
        <w:rPr>
          <w:rFonts w:ascii="方正仿宋_GBK" w:hAnsi="FZFSK--GBK1-0" w:eastAsia="方正仿宋_GBK"/>
          <w:color w:val="000000" w:themeColor="text1"/>
          <w:sz w:val="28"/>
          <w:szCs w:val="28"/>
          <w14:textFill>
            <w14:solidFill>
              <w14:schemeClr w14:val="tx1"/>
            </w14:solidFill>
          </w14:textFill>
        </w:rPr>
        <w:t xml:space="preserve">0万元）。 </w:t>
      </w:r>
    </w:p>
    <w:p>
      <w:pPr>
        <w:widowControl/>
        <w:spacing w:line="520" w:lineRule="exact"/>
        <w:ind w:firstLine="560" w:firstLineChars="200"/>
        <w:jc w:val="left"/>
        <w:rPr>
          <w:rFonts w:ascii="方正仿宋_GBK" w:hAnsi="FZFSK--GBK1-0" w:eastAsia="方正仿宋_GBK"/>
          <w:color w:val="000000" w:themeColor="text1"/>
          <w:sz w:val="28"/>
          <w:szCs w:val="28"/>
          <w14:textFill>
            <w14:solidFill>
              <w14:schemeClr w14:val="tx1"/>
            </w14:solidFill>
          </w14:textFill>
        </w:rPr>
      </w:pPr>
      <w:r>
        <w:rPr>
          <w:rFonts w:hint="eastAsia" w:ascii="方正仿宋_GBK" w:hAnsi="FZFSK--GBK1-0" w:eastAsia="方正仿宋_GBK"/>
          <w:color w:val="000000" w:themeColor="text1"/>
          <w:sz w:val="28"/>
          <w:szCs w:val="28"/>
          <w14:textFill>
            <w14:solidFill>
              <w14:schemeClr w14:val="tx1"/>
            </w14:solidFill>
          </w14:textFill>
        </w:rPr>
        <w:t>免赔额：人员伤亡无免赔，医疗费用免赔额为每人每次事故</w:t>
      </w:r>
      <w:r>
        <w:rPr>
          <w:rFonts w:ascii="方正仿宋_GBK" w:hAnsi="FZFSK--GBK1-0" w:eastAsia="方正仿宋_GBK"/>
          <w:color w:val="000000" w:themeColor="text1"/>
          <w:sz w:val="28"/>
          <w:szCs w:val="28"/>
          <w14:textFill>
            <w14:solidFill>
              <w14:schemeClr w14:val="tx1"/>
            </w14:solidFill>
          </w14:textFill>
        </w:rPr>
        <w:t>500</w:t>
      </w:r>
      <w:r>
        <w:rPr>
          <w:rFonts w:hint="eastAsia" w:ascii="方正仿宋_GBK" w:hAnsi="FZFSK--GBK1-0" w:eastAsia="方正仿宋_GBK"/>
          <w:color w:val="000000" w:themeColor="text1"/>
          <w:sz w:val="28"/>
          <w:szCs w:val="28"/>
          <w14:textFill>
            <w14:solidFill>
              <w14:schemeClr w14:val="tx1"/>
            </w14:solidFill>
          </w14:textFill>
        </w:rPr>
        <w:t>元，</w:t>
      </w:r>
      <w:r>
        <w:rPr>
          <w:rFonts w:ascii="方正仿宋_GBK" w:hAnsi="FZFSK--GBK1-0" w:eastAsia="方正仿宋_GBK"/>
          <w:color w:val="000000" w:themeColor="text1"/>
          <w:sz w:val="28"/>
          <w:szCs w:val="28"/>
          <w14:textFill>
            <w14:solidFill>
              <w14:schemeClr w14:val="tx1"/>
            </w14:solidFill>
          </w14:textFill>
        </w:rPr>
        <w:t>500元以上100%赔付</w:t>
      </w:r>
      <w:r>
        <w:rPr>
          <w:rFonts w:hint="eastAsia" w:ascii="方正仿宋_GBK" w:hAnsi="FZFSK--GBK1-0" w:eastAsia="方正仿宋_GBK"/>
          <w:color w:val="000000" w:themeColor="text1"/>
          <w:sz w:val="28"/>
          <w:szCs w:val="28"/>
          <w14:textFill>
            <w14:solidFill>
              <w14:schemeClr w14:val="tx1"/>
            </w14:solidFill>
          </w14:textFill>
        </w:rPr>
        <w:t>。</w:t>
      </w:r>
    </w:p>
    <w:p>
      <w:pPr>
        <w:spacing w:line="520" w:lineRule="exact"/>
        <w:rPr>
          <w:rFonts w:ascii="Times New Roman" w:hAnsi="Times New Roman" w:cs="Times New Roman"/>
          <w:bCs/>
          <w:color w:val="000000" w:themeColor="text1"/>
          <w:sz w:val="28"/>
          <w:szCs w:val="28"/>
          <w14:textFill>
            <w14:solidFill>
              <w14:schemeClr w14:val="tx1"/>
            </w14:solidFill>
          </w14:textFill>
        </w:rPr>
      </w:pPr>
    </w:p>
    <w:p>
      <w:pPr>
        <w:rPr>
          <w:rFonts w:ascii="方正黑体_GBK" w:hAnsi="方正黑体_GBK" w:eastAsia="方正黑体_GBK" w:cs="方正黑体_GBK"/>
          <w:bCs/>
          <w:color w:val="000000" w:themeColor="text1"/>
          <w:sz w:val="32"/>
          <w:szCs w:val="32"/>
          <w14:textFill>
            <w14:solidFill>
              <w14:schemeClr w14:val="tx1"/>
            </w14:solidFill>
          </w14:textFill>
        </w:rPr>
      </w:pPr>
      <w:r>
        <w:rPr>
          <w:rFonts w:hint="eastAsia" w:ascii="方正黑体_GBK" w:hAnsi="方正黑体_GBK" w:eastAsia="方正黑体_GBK" w:cs="方正黑体_GBK"/>
          <w:bCs/>
          <w:color w:val="000000" w:themeColor="text1"/>
          <w:sz w:val="32"/>
          <w:szCs w:val="32"/>
          <w14:textFill>
            <w14:solidFill>
              <w14:schemeClr w14:val="tx1"/>
            </w14:solidFill>
          </w14:textFill>
        </w:rPr>
        <w:t>附件4</w:t>
      </w:r>
    </w:p>
    <w:p>
      <w:pPr>
        <w:jc w:val="center"/>
        <w:rPr>
          <w:rFonts w:ascii="方正小标宋_GBK" w:hAnsi="Times New Roman" w:eastAsia="方正小标宋_GBK" w:cs="方正仿宋_GBK"/>
          <w:bCs/>
          <w:color w:val="000000" w:themeColor="text1"/>
          <w:sz w:val="32"/>
          <w:szCs w:val="32"/>
          <w14:textFill>
            <w14:solidFill>
              <w14:schemeClr w14:val="tx1"/>
            </w14:solidFill>
          </w14:textFill>
        </w:rPr>
      </w:pPr>
    </w:p>
    <w:p>
      <w:pPr>
        <w:jc w:val="center"/>
        <w:rPr>
          <w:rFonts w:ascii="方正小标宋_GBK" w:hAnsi="Times New Roman" w:eastAsia="方正小标宋_GBK" w:cs="方正仿宋_GBK"/>
          <w:bCs/>
          <w:color w:val="000000" w:themeColor="text1"/>
          <w:sz w:val="32"/>
          <w:szCs w:val="32"/>
          <w14:textFill>
            <w14:solidFill>
              <w14:schemeClr w14:val="tx1"/>
            </w14:solidFill>
          </w14:textFill>
        </w:rPr>
      </w:pPr>
      <w:r>
        <w:rPr>
          <w:rFonts w:hint="eastAsia" w:ascii="方正小标宋_GBK" w:hAnsi="Times New Roman" w:eastAsia="方正小标宋_GBK" w:cs="方正仿宋_GBK"/>
          <w:bCs/>
          <w:color w:val="000000" w:themeColor="text1"/>
          <w:sz w:val="32"/>
          <w:szCs w:val="32"/>
          <w14:textFill>
            <w14:solidFill>
              <w14:schemeClr w14:val="tx1"/>
            </w14:solidFill>
          </w14:textFill>
        </w:rPr>
        <w:t>伤残比例表（要细细考虑伤残部分）</w:t>
      </w:r>
    </w:p>
    <w:p>
      <w:pPr>
        <w:spacing w:line="520" w:lineRule="exact"/>
        <w:ind w:firstLine="2380" w:firstLineChars="850"/>
        <w:jc w:val="left"/>
        <w:rPr>
          <w:rFonts w:ascii="Times New Roman" w:hAnsi="Times New Roman" w:cs="Times New Roman"/>
          <w:bCs/>
          <w:color w:val="000000" w:themeColor="text1"/>
          <w:sz w:val="28"/>
          <w:szCs w:val="28"/>
          <w14:textFill>
            <w14:solidFill>
              <w14:schemeClr w14:val="tx1"/>
            </w14:solidFill>
          </w14:textFill>
        </w:rPr>
      </w:pPr>
    </w:p>
    <w:tbl>
      <w:tblPr>
        <w:tblStyle w:val="10"/>
        <w:tblW w:w="4244" w:type="pct"/>
        <w:tblInd w:w="837"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3533"/>
        <w:gridCol w:w="370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残疾程度</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每人伤残责任限额的百分比</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永久丧失全部工作能力或一级伤残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二级伤残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90%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三级伤残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80%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四级伤残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70%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五级伤残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60%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六级伤残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50%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七级伤残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40%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八级伤残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30%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91"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九级伤残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20%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6" w:hRule="atLeast"/>
        </w:trPr>
        <w:tc>
          <w:tcPr>
            <w:tcW w:w="3534"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十级伤残</w:t>
            </w:r>
          </w:p>
        </w:tc>
        <w:tc>
          <w:tcPr>
            <w:tcW w:w="3700" w:type="dxa"/>
            <w:tcBorders>
              <w:top w:val="single" w:color="auto" w:sz="4" w:space="0"/>
              <w:left w:val="single" w:color="auto" w:sz="4" w:space="0"/>
              <w:bottom w:val="single" w:color="auto" w:sz="4" w:space="0"/>
              <w:right w:val="single" w:color="auto" w:sz="4" w:space="0"/>
            </w:tcBorders>
          </w:tcPr>
          <w:p>
            <w:pPr>
              <w:spacing w:line="32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10%</w:t>
            </w:r>
          </w:p>
        </w:tc>
      </w:tr>
    </w:tbl>
    <w:p>
      <w:pPr>
        <w:spacing w:line="360" w:lineRule="exact"/>
        <w:ind w:firstLine="420" w:firstLineChars="200"/>
        <w:jc w:val="left"/>
        <w:rPr>
          <w:rFonts w:ascii="方正黑体_GBK" w:eastAsia="方正黑体_GBK"/>
          <w:color w:val="000000" w:themeColor="text1"/>
          <w14:textFill>
            <w14:solidFill>
              <w14:schemeClr w14:val="tx1"/>
            </w14:solidFill>
          </w14:textFill>
        </w:rPr>
      </w:pPr>
    </w:p>
    <w:p>
      <w:pPr>
        <w:spacing w:line="360" w:lineRule="exact"/>
        <w:ind w:firstLine="420" w:firstLineChars="200"/>
        <w:jc w:val="left"/>
        <w:rPr>
          <w:rFonts w:ascii="方正黑体_GBK" w:eastAsia="方正黑体_GBK"/>
          <w:color w:val="000000" w:themeColor="text1"/>
          <w14:textFill>
            <w14:solidFill>
              <w14:schemeClr w14:val="tx1"/>
            </w14:solidFill>
          </w14:textFill>
        </w:rPr>
      </w:pPr>
      <w:r>
        <w:rPr>
          <w:rFonts w:hint="eastAsia" w:ascii="方正黑体_GBK" w:eastAsia="方正黑体_GBK"/>
          <w:color w:val="000000" w:themeColor="text1"/>
          <w14:textFill>
            <w14:solidFill>
              <w14:schemeClr w14:val="tx1"/>
            </w14:solidFill>
          </w14:textFill>
        </w:rPr>
        <w:t>注：若发生从业人员残疾的，由二级以上</w:t>
      </w:r>
      <w:r>
        <w:rPr>
          <w:rFonts w:ascii="方正黑体_GBK" w:eastAsia="方正黑体_GBK"/>
          <w:color w:val="000000" w:themeColor="text1"/>
          <w14:textFill>
            <w14:solidFill>
              <w14:schemeClr w14:val="tx1"/>
            </w14:solidFill>
          </w14:textFill>
        </w:rPr>
        <w:t>(</w:t>
      </w:r>
      <w:r>
        <w:rPr>
          <w:rFonts w:hint="eastAsia" w:ascii="方正黑体_GBK" w:eastAsia="方正黑体_GBK"/>
          <w:color w:val="000000" w:themeColor="text1"/>
          <w14:textFill>
            <w14:solidFill>
              <w14:schemeClr w14:val="tx1"/>
            </w14:solidFill>
          </w14:textFill>
        </w:rPr>
        <w:t>含</w:t>
      </w:r>
      <w:r>
        <w:rPr>
          <w:rFonts w:ascii="方正黑体_GBK" w:eastAsia="方正黑体_GBK"/>
          <w:color w:val="000000" w:themeColor="text1"/>
          <w14:textFill>
            <w14:solidFill>
              <w14:schemeClr w14:val="tx1"/>
            </w14:solidFill>
          </w14:textFill>
        </w:rPr>
        <w:t>)</w:t>
      </w:r>
      <w:r>
        <w:rPr>
          <w:rFonts w:hint="eastAsia" w:ascii="方正黑体_GBK" w:eastAsia="方正黑体_GBK"/>
          <w:color w:val="000000" w:themeColor="text1"/>
          <w14:textFill>
            <w14:solidFill>
              <w14:schemeClr w14:val="tx1"/>
            </w14:solidFill>
          </w14:textFill>
        </w:rPr>
        <w:t>医疗机构或司法机构依据职工工伤《职工工伤与职业病致残程度鉴定》</w:t>
      </w:r>
      <w:r>
        <w:rPr>
          <w:rFonts w:ascii="方正黑体_GBK" w:eastAsia="方正黑体_GBK"/>
          <w:color w:val="000000" w:themeColor="text1"/>
          <w14:textFill>
            <w14:solidFill>
              <w14:schemeClr w14:val="tx1"/>
            </w14:solidFill>
          </w14:textFill>
        </w:rPr>
        <w:t>(GB</w:t>
      </w:r>
      <w:r>
        <w:rPr>
          <w:rFonts w:hint="eastAsia" w:ascii="方正黑体_GBK" w:eastAsia="方正黑体_GBK"/>
          <w:color w:val="000000" w:themeColor="text1"/>
          <w14:textFill>
            <w14:solidFill>
              <w14:schemeClr w14:val="tx1"/>
            </w14:solidFill>
          </w14:textFill>
        </w:rPr>
        <w:t>／</w:t>
      </w:r>
      <w:r>
        <w:rPr>
          <w:rFonts w:ascii="方正黑体_GBK" w:eastAsia="方正黑体_GBK"/>
          <w:color w:val="000000" w:themeColor="text1"/>
          <w14:textFill>
            <w14:solidFill>
              <w14:schemeClr w14:val="tx1"/>
            </w14:solidFill>
          </w14:textFill>
        </w:rPr>
        <w:t>T16180</w:t>
      </w:r>
      <w:r>
        <w:rPr>
          <w:rFonts w:hint="eastAsia" w:ascii="方正黑体_GBK" w:eastAsia="方正黑体_GBK"/>
          <w:color w:val="000000" w:themeColor="text1"/>
          <w14:textFill>
            <w14:solidFill>
              <w14:schemeClr w14:val="tx1"/>
            </w14:solidFill>
          </w14:textFill>
        </w:rPr>
        <w:t>—</w:t>
      </w:r>
      <w:r>
        <w:rPr>
          <w:rFonts w:ascii="方正黑体_GBK" w:eastAsia="方正黑体_GBK"/>
          <w:color w:val="000000" w:themeColor="text1"/>
          <w14:textFill>
            <w14:solidFill>
              <w14:schemeClr w14:val="tx1"/>
            </w14:solidFill>
          </w14:textFill>
        </w:rPr>
        <w:t>2014)</w:t>
      </w:r>
      <w:r>
        <w:rPr>
          <w:rFonts w:hint="eastAsia" w:ascii="方正黑体_GBK" w:eastAsia="方正黑体_GBK"/>
          <w:color w:val="000000" w:themeColor="text1"/>
          <w14:textFill>
            <w14:solidFill>
              <w14:schemeClr w14:val="tx1"/>
            </w14:solidFill>
          </w14:textFill>
        </w:rPr>
        <w:t>标准鉴定残疾程度，保险人按照本保险合同所附残疾赔偿比例表规定的百分比，在每人伤亡责任限额内赔付。</w:t>
      </w:r>
    </w:p>
    <w:p>
      <w:pPr>
        <w:spacing w:line="520" w:lineRule="exact"/>
        <w:jc w:val="left"/>
        <w:rPr>
          <w:rFonts w:ascii="Times New Roman" w:hAnsi="Times New Roman" w:cs="Times New Roman"/>
          <w:bCs/>
          <w:color w:val="000000" w:themeColor="text1"/>
          <w:sz w:val="28"/>
          <w:szCs w:val="28"/>
          <w14:textFill>
            <w14:solidFill>
              <w14:schemeClr w14:val="tx1"/>
            </w14:solidFill>
          </w14:textFill>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___WRD_EMBED_SUB_46">
    <w:altName w:val="微软雅黑"/>
    <w:panose1 w:val="00000000000000000000"/>
    <w:charset w:val="86"/>
    <w:family w:val="script"/>
    <w:pitch w:val="default"/>
    <w:sig w:usb0="00000000" w:usb1="00000000" w:usb2="00000000" w:usb3="00000000" w:csb0="00040000" w:csb1="00000000"/>
  </w:font>
  <w:font w:name="FZFSK--GBK1-0">
    <w:altName w:val="宋体"/>
    <w:panose1 w:val="00000000000000000000"/>
    <w:charset w:val="86"/>
    <w:family w:val="auto"/>
    <w:pitch w:val="default"/>
    <w:sig w:usb0="00000000" w:usb1="00000000" w:usb2="00000010" w:usb3="00000000" w:csb0="00040000" w:csb1="00000000"/>
  </w:font>
  <w:font w:name="HiddenHorzOCR">
    <w:altName w:val="MS Gothic"/>
    <w:panose1 w:val="00000000000000000000"/>
    <w:charset w:val="80"/>
    <w:family w:val="auto"/>
    <w:pitch w:val="default"/>
    <w:sig w:usb0="00000000" w:usb1="00000000" w:usb2="00000010" w:usb3="00000000" w:csb0="00020000" w:csb1="00000000"/>
  </w:font>
  <w:font w:name="MS Gothic">
    <w:panose1 w:val="020B0609070205080204"/>
    <w:charset w:val="80"/>
    <w:family w:val="auto"/>
    <w:pitch w:val="default"/>
    <w:sig w:usb0="E00002FF" w:usb1="6AC7FDFB" w:usb2="08000012" w:usb3="00000000" w:csb0="4002009F" w:csb1="DFD70000"/>
  </w:font>
  <w:font w:name="TimesNewRomanPSMT">
    <w:altName w:val="Times New Roman"/>
    <w:panose1 w:val="00000000000000000000"/>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872208"/>
      <w:docPartObj>
        <w:docPartGallery w:val="autotext"/>
      </w:docPartObj>
    </w:sdtPr>
    <w:sdtContent>
      <w:p>
        <w:pPr>
          <w:pStyle w:val="5"/>
          <w:jc w:val="center"/>
        </w:pPr>
        <w:r>
          <w:rPr>
            <w:rFonts w:hint="eastAsia" w:ascii="方正仿宋_GBK" w:eastAsia="方正仿宋_GBK"/>
            <w:sz w:val="24"/>
            <w:szCs w:val="24"/>
          </w:rPr>
          <w:t>-</w:t>
        </w:r>
        <w:r>
          <w:rPr>
            <w:rFonts w:hint="eastAsia" w:ascii="方正仿宋_GBK" w:eastAsia="方正仿宋_GBK"/>
            <w:sz w:val="24"/>
            <w:szCs w:val="24"/>
          </w:rPr>
          <w:fldChar w:fldCharType="begin"/>
        </w:r>
        <w:r>
          <w:rPr>
            <w:rFonts w:hint="eastAsia" w:ascii="方正仿宋_GBK" w:eastAsia="方正仿宋_GBK"/>
            <w:sz w:val="24"/>
            <w:szCs w:val="24"/>
          </w:rPr>
          <w:instrText xml:space="preserve"> PAGE   \* MERGEFORMAT </w:instrText>
        </w:r>
        <w:r>
          <w:rPr>
            <w:rFonts w:hint="eastAsia" w:ascii="方正仿宋_GBK" w:eastAsia="方正仿宋_GBK"/>
            <w:sz w:val="24"/>
            <w:szCs w:val="24"/>
          </w:rPr>
          <w:fldChar w:fldCharType="separate"/>
        </w:r>
        <w:r>
          <w:rPr>
            <w:rFonts w:ascii="方正仿宋_GBK" w:eastAsia="方正仿宋_GBK"/>
            <w:sz w:val="24"/>
            <w:szCs w:val="24"/>
            <w:lang w:val="zh-CN"/>
          </w:rPr>
          <w:t>2</w:t>
        </w:r>
        <w:r>
          <w:rPr>
            <w:rFonts w:hint="eastAsia" w:ascii="方正仿宋_GBK" w:eastAsia="方正仿宋_GBK"/>
            <w:sz w:val="24"/>
            <w:szCs w:val="24"/>
          </w:rPr>
          <w:fldChar w:fldCharType="end"/>
        </w:r>
        <w:r>
          <w:rPr>
            <w:rFonts w:hint="eastAsia" w:ascii="方正仿宋_GBK" w:eastAsia="方正仿宋_GBK"/>
            <w:sz w:val="24"/>
            <w:szCs w:val="24"/>
          </w:rPr>
          <w:t>-</w:t>
        </w:r>
      </w:p>
    </w:sdtContent>
  </w:sdt>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F86C83"/>
    <w:multiLevelType w:val="multilevel"/>
    <w:tmpl w:val="1DF86C83"/>
    <w:lvl w:ilvl="0" w:tentative="0">
      <w:start w:val="1"/>
      <w:numFmt w:val="japaneseCounting"/>
      <w:lvlText w:val="第%1章"/>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5BFF00CB"/>
    <w:multiLevelType w:val="multilevel"/>
    <w:tmpl w:val="5BFF00CB"/>
    <w:lvl w:ilvl="0" w:tentative="0">
      <w:start w:val="7"/>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4F5B"/>
    <w:rsid w:val="00002784"/>
    <w:rsid w:val="000129C4"/>
    <w:rsid w:val="00024983"/>
    <w:rsid w:val="00050F02"/>
    <w:rsid w:val="000511DA"/>
    <w:rsid w:val="00055992"/>
    <w:rsid w:val="000567E7"/>
    <w:rsid w:val="00057768"/>
    <w:rsid w:val="00061E3D"/>
    <w:rsid w:val="000705B0"/>
    <w:rsid w:val="00076305"/>
    <w:rsid w:val="00082E5D"/>
    <w:rsid w:val="00086B94"/>
    <w:rsid w:val="000A0FE4"/>
    <w:rsid w:val="000C2C7F"/>
    <w:rsid w:val="000C32A5"/>
    <w:rsid w:val="000C3CC7"/>
    <w:rsid w:val="000C4E4A"/>
    <w:rsid w:val="000D4F96"/>
    <w:rsid w:val="000F191C"/>
    <w:rsid w:val="000F1D30"/>
    <w:rsid w:val="001037A8"/>
    <w:rsid w:val="001124B3"/>
    <w:rsid w:val="00113753"/>
    <w:rsid w:val="00115E24"/>
    <w:rsid w:val="001423B9"/>
    <w:rsid w:val="00142762"/>
    <w:rsid w:val="001471F5"/>
    <w:rsid w:val="001620EE"/>
    <w:rsid w:val="001708DB"/>
    <w:rsid w:val="00182CD2"/>
    <w:rsid w:val="00186B49"/>
    <w:rsid w:val="001A0FD7"/>
    <w:rsid w:val="001B260C"/>
    <w:rsid w:val="001B40AB"/>
    <w:rsid w:val="001B44D4"/>
    <w:rsid w:val="001B72E9"/>
    <w:rsid w:val="001C6B07"/>
    <w:rsid w:val="001F1169"/>
    <w:rsid w:val="001F1873"/>
    <w:rsid w:val="001F416E"/>
    <w:rsid w:val="001F5D51"/>
    <w:rsid w:val="002041CC"/>
    <w:rsid w:val="0020706B"/>
    <w:rsid w:val="00213F3F"/>
    <w:rsid w:val="002436F4"/>
    <w:rsid w:val="002450A0"/>
    <w:rsid w:val="00260624"/>
    <w:rsid w:val="00260ACE"/>
    <w:rsid w:val="00261ADF"/>
    <w:rsid w:val="002653E0"/>
    <w:rsid w:val="00270E0C"/>
    <w:rsid w:val="002726D6"/>
    <w:rsid w:val="002810D8"/>
    <w:rsid w:val="002A5DA2"/>
    <w:rsid w:val="002A7983"/>
    <w:rsid w:val="002A7A83"/>
    <w:rsid w:val="002B21CA"/>
    <w:rsid w:val="002B464C"/>
    <w:rsid w:val="002C256F"/>
    <w:rsid w:val="002D4753"/>
    <w:rsid w:val="002D4F64"/>
    <w:rsid w:val="002D4F79"/>
    <w:rsid w:val="00301458"/>
    <w:rsid w:val="0031579F"/>
    <w:rsid w:val="00316951"/>
    <w:rsid w:val="00325232"/>
    <w:rsid w:val="00350638"/>
    <w:rsid w:val="003550DA"/>
    <w:rsid w:val="003556ED"/>
    <w:rsid w:val="003650AE"/>
    <w:rsid w:val="00367653"/>
    <w:rsid w:val="00381F30"/>
    <w:rsid w:val="003B6E87"/>
    <w:rsid w:val="003B7E48"/>
    <w:rsid w:val="003D21DC"/>
    <w:rsid w:val="003E7C56"/>
    <w:rsid w:val="003F572D"/>
    <w:rsid w:val="004044E0"/>
    <w:rsid w:val="00405411"/>
    <w:rsid w:val="0041350D"/>
    <w:rsid w:val="004412DE"/>
    <w:rsid w:val="004536A6"/>
    <w:rsid w:val="00485F97"/>
    <w:rsid w:val="004A0780"/>
    <w:rsid w:val="004A36EB"/>
    <w:rsid w:val="004B190E"/>
    <w:rsid w:val="004B3A08"/>
    <w:rsid w:val="004B766F"/>
    <w:rsid w:val="004C529E"/>
    <w:rsid w:val="004E172F"/>
    <w:rsid w:val="004E3634"/>
    <w:rsid w:val="004F123A"/>
    <w:rsid w:val="004F2921"/>
    <w:rsid w:val="00501CDD"/>
    <w:rsid w:val="00506BDC"/>
    <w:rsid w:val="005164A8"/>
    <w:rsid w:val="00532C23"/>
    <w:rsid w:val="00535F62"/>
    <w:rsid w:val="00541E0A"/>
    <w:rsid w:val="00557109"/>
    <w:rsid w:val="00562477"/>
    <w:rsid w:val="0056441C"/>
    <w:rsid w:val="00567014"/>
    <w:rsid w:val="00582946"/>
    <w:rsid w:val="00582E6A"/>
    <w:rsid w:val="005855EF"/>
    <w:rsid w:val="0058732E"/>
    <w:rsid w:val="00587DEF"/>
    <w:rsid w:val="00587EA8"/>
    <w:rsid w:val="005B192C"/>
    <w:rsid w:val="005B3A4E"/>
    <w:rsid w:val="005B7666"/>
    <w:rsid w:val="005C069D"/>
    <w:rsid w:val="005C3F53"/>
    <w:rsid w:val="005D1FF8"/>
    <w:rsid w:val="005D5532"/>
    <w:rsid w:val="005E2A4F"/>
    <w:rsid w:val="005E6838"/>
    <w:rsid w:val="005F530A"/>
    <w:rsid w:val="00601C00"/>
    <w:rsid w:val="0061311C"/>
    <w:rsid w:val="00616508"/>
    <w:rsid w:val="00616BC8"/>
    <w:rsid w:val="00624637"/>
    <w:rsid w:val="00630EFE"/>
    <w:rsid w:val="006401EF"/>
    <w:rsid w:val="00654F5F"/>
    <w:rsid w:val="006711DA"/>
    <w:rsid w:val="006765DF"/>
    <w:rsid w:val="006916ED"/>
    <w:rsid w:val="006A6FB8"/>
    <w:rsid w:val="006C258D"/>
    <w:rsid w:val="006C414B"/>
    <w:rsid w:val="006D217E"/>
    <w:rsid w:val="006D3FB0"/>
    <w:rsid w:val="006E0F37"/>
    <w:rsid w:val="00713DD4"/>
    <w:rsid w:val="007266F3"/>
    <w:rsid w:val="00734780"/>
    <w:rsid w:val="00740C11"/>
    <w:rsid w:val="00775DC1"/>
    <w:rsid w:val="00776172"/>
    <w:rsid w:val="00780BCD"/>
    <w:rsid w:val="007A0591"/>
    <w:rsid w:val="007A0BDB"/>
    <w:rsid w:val="007D5326"/>
    <w:rsid w:val="007D565D"/>
    <w:rsid w:val="007D7A81"/>
    <w:rsid w:val="007E19AE"/>
    <w:rsid w:val="007E4D26"/>
    <w:rsid w:val="007F0740"/>
    <w:rsid w:val="007F33DB"/>
    <w:rsid w:val="008036F5"/>
    <w:rsid w:val="00825BEB"/>
    <w:rsid w:val="0083790E"/>
    <w:rsid w:val="00845B4D"/>
    <w:rsid w:val="008566E8"/>
    <w:rsid w:val="00866069"/>
    <w:rsid w:val="00875C0A"/>
    <w:rsid w:val="00876CC1"/>
    <w:rsid w:val="00886858"/>
    <w:rsid w:val="008A32DB"/>
    <w:rsid w:val="008A418B"/>
    <w:rsid w:val="008A7B56"/>
    <w:rsid w:val="008B155C"/>
    <w:rsid w:val="008B790A"/>
    <w:rsid w:val="008C00E5"/>
    <w:rsid w:val="008E64A8"/>
    <w:rsid w:val="008F5D54"/>
    <w:rsid w:val="008F753D"/>
    <w:rsid w:val="00900A75"/>
    <w:rsid w:val="00906F7C"/>
    <w:rsid w:val="00910013"/>
    <w:rsid w:val="00916128"/>
    <w:rsid w:val="0093284A"/>
    <w:rsid w:val="00940298"/>
    <w:rsid w:val="00942A81"/>
    <w:rsid w:val="00955C66"/>
    <w:rsid w:val="00974C7E"/>
    <w:rsid w:val="0098560F"/>
    <w:rsid w:val="0099590E"/>
    <w:rsid w:val="009A2931"/>
    <w:rsid w:val="009A32E0"/>
    <w:rsid w:val="009A7CA1"/>
    <w:rsid w:val="009B3429"/>
    <w:rsid w:val="009C4877"/>
    <w:rsid w:val="009D31B2"/>
    <w:rsid w:val="009D7CA8"/>
    <w:rsid w:val="009E3FB0"/>
    <w:rsid w:val="00A06F4D"/>
    <w:rsid w:val="00A20411"/>
    <w:rsid w:val="00A433C5"/>
    <w:rsid w:val="00A546E4"/>
    <w:rsid w:val="00A575C0"/>
    <w:rsid w:val="00A60652"/>
    <w:rsid w:val="00A62201"/>
    <w:rsid w:val="00A62603"/>
    <w:rsid w:val="00A85CC8"/>
    <w:rsid w:val="00A921CE"/>
    <w:rsid w:val="00AA432A"/>
    <w:rsid w:val="00AA505C"/>
    <w:rsid w:val="00AA5DA7"/>
    <w:rsid w:val="00AA7422"/>
    <w:rsid w:val="00AB21EF"/>
    <w:rsid w:val="00AC0DE7"/>
    <w:rsid w:val="00AD04C3"/>
    <w:rsid w:val="00AE0477"/>
    <w:rsid w:val="00B044B5"/>
    <w:rsid w:val="00B159CC"/>
    <w:rsid w:val="00B208B1"/>
    <w:rsid w:val="00B27EFF"/>
    <w:rsid w:val="00B32859"/>
    <w:rsid w:val="00B34486"/>
    <w:rsid w:val="00B40630"/>
    <w:rsid w:val="00B413AC"/>
    <w:rsid w:val="00B41912"/>
    <w:rsid w:val="00B536C7"/>
    <w:rsid w:val="00B75BD0"/>
    <w:rsid w:val="00B92CF8"/>
    <w:rsid w:val="00B9376C"/>
    <w:rsid w:val="00BA0ABE"/>
    <w:rsid w:val="00BB4631"/>
    <w:rsid w:val="00BE2010"/>
    <w:rsid w:val="00C03819"/>
    <w:rsid w:val="00C1141F"/>
    <w:rsid w:val="00C2306F"/>
    <w:rsid w:val="00C24F8E"/>
    <w:rsid w:val="00C2615D"/>
    <w:rsid w:val="00C47C7D"/>
    <w:rsid w:val="00C556B4"/>
    <w:rsid w:val="00C66247"/>
    <w:rsid w:val="00C665BE"/>
    <w:rsid w:val="00C73020"/>
    <w:rsid w:val="00C825B7"/>
    <w:rsid w:val="00C9289A"/>
    <w:rsid w:val="00C9557C"/>
    <w:rsid w:val="00CA21B6"/>
    <w:rsid w:val="00CC2D61"/>
    <w:rsid w:val="00CC3D77"/>
    <w:rsid w:val="00CD4B4F"/>
    <w:rsid w:val="00CE5609"/>
    <w:rsid w:val="00CF1EA9"/>
    <w:rsid w:val="00D06620"/>
    <w:rsid w:val="00D06A22"/>
    <w:rsid w:val="00D10C12"/>
    <w:rsid w:val="00D23856"/>
    <w:rsid w:val="00D3033E"/>
    <w:rsid w:val="00D34242"/>
    <w:rsid w:val="00D514D2"/>
    <w:rsid w:val="00D64C40"/>
    <w:rsid w:val="00D73402"/>
    <w:rsid w:val="00D87D35"/>
    <w:rsid w:val="00DA06E6"/>
    <w:rsid w:val="00DB37C1"/>
    <w:rsid w:val="00DB5635"/>
    <w:rsid w:val="00DC5939"/>
    <w:rsid w:val="00DE25C0"/>
    <w:rsid w:val="00DE44CA"/>
    <w:rsid w:val="00DE6B27"/>
    <w:rsid w:val="00E03E1B"/>
    <w:rsid w:val="00E07385"/>
    <w:rsid w:val="00E0746C"/>
    <w:rsid w:val="00E10BC8"/>
    <w:rsid w:val="00E120E5"/>
    <w:rsid w:val="00E12859"/>
    <w:rsid w:val="00E3099C"/>
    <w:rsid w:val="00E3591B"/>
    <w:rsid w:val="00E40634"/>
    <w:rsid w:val="00E4688A"/>
    <w:rsid w:val="00E5405D"/>
    <w:rsid w:val="00E75CC8"/>
    <w:rsid w:val="00E80ECC"/>
    <w:rsid w:val="00E84C60"/>
    <w:rsid w:val="00E949C5"/>
    <w:rsid w:val="00ED055A"/>
    <w:rsid w:val="00F03102"/>
    <w:rsid w:val="00F059D5"/>
    <w:rsid w:val="00F24F5B"/>
    <w:rsid w:val="00F3047A"/>
    <w:rsid w:val="00F33964"/>
    <w:rsid w:val="00F47592"/>
    <w:rsid w:val="00F520C9"/>
    <w:rsid w:val="00F5374F"/>
    <w:rsid w:val="00F7437E"/>
    <w:rsid w:val="00F85BA5"/>
    <w:rsid w:val="00F9041D"/>
    <w:rsid w:val="00FB1A30"/>
    <w:rsid w:val="00FC1B46"/>
    <w:rsid w:val="00FC7076"/>
    <w:rsid w:val="00FD5ED5"/>
    <w:rsid w:val="00FE62A9"/>
    <w:rsid w:val="00FF6028"/>
    <w:rsid w:val="14B14A81"/>
    <w:rsid w:val="2A2F17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2">
    <w:name w:val="annotation text"/>
    <w:basedOn w:val="1"/>
    <w:link w:val="23"/>
    <w:semiHidden/>
    <w:unhideWhenUsed/>
    <w:uiPriority w:val="99"/>
    <w:pPr>
      <w:jc w:val="left"/>
    </w:pPr>
  </w:style>
  <w:style w:type="paragraph" w:styleId="3">
    <w:name w:val="Body Text"/>
    <w:basedOn w:val="1"/>
    <w:link w:val="18"/>
    <w:semiHidden/>
    <w:unhideWhenUsed/>
    <w:qFormat/>
    <w:uiPriority w:val="99"/>
    <w:pPr>
      <w:spacing w:after="120"/>
    </w:pPr>
  </w:style>
  <w:style w:type="paragraph" w:styleId="4">
    <w:name w:val="Balloon Text"/>
    <w:basedOn w:val="1"/>
    <w:link w:val="22"/>
    <w:semiHidden/>
    <w:unhideWhenUsed/>
    <w:qFormat/>
    <w:uiPriority w:val="99"/>
    <w:rPr>
      <w:sz w:val="18"/>
      <w:szCs w:val="18"/>
    </w:rPr>
  </w:style>
  <w:style w:type="paragraph" w:styleId="5">
    <w:name w:val="footer"/>
    <w:basedOn w:val="1"/>
    <w:link w:val="16"/>
    <w:unhideWhenUsed/>
    <w:uiPriority w:val="99"/>
    <w:pPr>
      <w:tabs>
        <w:tab w:val="center" w:pos="4153"/>
        <w:tab w:val="right" w:pos="8306"/>
      </w:tabs>
      <w:snapToGrid w:val="0"/>
      <w:jc w:val="left"/>
    </w:pPr>
    <w:rPr>
      <w:sz w:val="18"/>
      <w:szCs w:val="18"/>
    </w:rPr>
  </w:style>
  <w:style w:type="paragraph" w:styleId="6">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8">
    <w:name w:val="annotation subject"/>
    <w:basedOn w:val="2"/>
    <w:next w:val="2"/>
    <w:link w:val="24"/>
    <w:semiHidden/>
    <w:unhideWhenUsed/>
    <w:qFormat/>
    <w:uiPriority w:val="99"/>
    <w:rPr>
      <w:b/>
      <w:bCs/>
    </w:rPr>
  </w:style>
  <w:style w:type="paragraph" w:styleId="9">
    <w:name w:val="Body Text First Indent"/>
    <w:basedOn w:val="1"/>
    <w:link w:val="19"/>
    <w:unhideWhenUsed/>
    <w:qFormat/>
    <w:uiPriority w:val="99"/>
    <w:pPr>
      <w:wordWrap w:val="0"/>
      <w:ind w:firstLine="640" w:firstLineChars="200"/>
    </w:pPr>
    <w:rPr>
      <w:szCs w:val="24"/>
    </w:rPr>
  </w:style>
  <w:style w:type="table" w:styleId="11">
    <w:name w:val="Table Grid"/>
    <w:basedOn w:val="10"/>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3">
    <w:name w:val="Strong"/>
    <w:basedOn w:val="12"/>
    <w:qFormat/>
    <w:uiPriority w:val="22"/>
    <w:rPr>
      <w:b/>
      <w:bCs/>
    </w:rPr>
  </w:style>
  <w:style w:type="character" w:styleId="14">
    <w:name w:val="annotation reference"/>
    <w:basedOn w:val="12"/>
    <w:semiHidden/>
    <w:unhideWhenUsed/>
    <w:qFormat/>
    <w:uiPriority w:val="99"/>
    <w:rPr>
      <w:sz w:val="21"/>
      <w:szCs w:val="21"/>
    </w:rPr>
  </w:style>
  <w:style w:type="character" w:customStyle="1" w:styleId="15">
    <w:name w:val="页眉 Char"/>
    <w:basedOn w:val="12"/>
    <w:link w:val="6"/>
    <w:qFormat/>
    <w:uiPriority w:val="99"/>
    <w:rPr>
      <w:sz w:val="18"/>
      <w:szCs w:val="18"/>
    </w:rPr>
  </w:style>
  <w:style w:type="character" w:customStyle="1" w:styleId="16">
    <w:name w:val="页脚 Char"/>
    <w:basedOn w:val="12"/>
    <w:link w:val="5"/>
    <w:qFormat/>
    <w:uiPriority w:val="99"/>
    <w:rPr>
      <w:sz w:val="18"/>
      <w:szCs w:val="18"/>
    </w:rPr>
  </w:style>
  <w:style w:type="character" w:customStyle="1" w:styleId="17">
    <w:name w:val="bjh-strong2"/>
    <w:basedOn w:val="12"/>
    <w:qFormat/>
    <w:uiPriority w:val="0"/>
    <w:rPr>
      <w:b/>
      <w:color w:val="333333"/>
      <w:sz w:val="27"/>
      <w:szCs w:val="27"/>
    </w:rPr>
  </w:style>
  <w:style w:type="character" w:customStyle="1" w:styleId="18">
    <w:name w:val="正文文本 Char"/>
    <w:basedOn w:val="12"/>
    <w:link w:val="3"/>
    <w:semiHidden/>
    <w:qFormat/>
    <w:uiPriority w:val="99"/>
  </w:style>
  <w:style w:type="character" w:customStyle="1" w:styleId="19">
    <w:name w:val="正文首行缩进 Char"/>
    <w:basedOn w:val="18"/>
    <w:link w:val="9"/>
    <w:qFormat/>
    <w:uiPriority w:val="99"/>
    <w:rPr>
      <w:szCs w:val="24"/>
    </w:rPr>
  </w:style>
  <w:style w:type="paragraph" w:customStyle="1" w:styleId="20">
    <w:name w:val="列表段落1"/>
    <w:basedOn w:val="1"/>
    <w:qFormat/>
    <w:uiPriority w:val="0"/>
    <w:pPr>
      <w:ind w:firstLine="200" w:firstLineChars="200"/>
    </w:pPr>
    <w:rPr>
      <w:rFonts w:ascii="Calibri" w:hAnsi="Calibri" w:cs="Calibri"/>
      <w:szCs w:val="24"/>
    </w:rPr>
  </w:style>
  <w:style w:type="paragraph" w:styleId="21">
    <w:name w:val="List Paragraph"/>
    <w:basedOn w:val="1"/>
    <w:qFormat/>
    <w:uiPriority w:val="34"/>
    <w:pPr>
      <w:ind w:firstLine="420" w:firstLineChars="200"/>
    </w:pPr>
  </w:style>
  <w:style w:type="character" w:customStyle="1" w:styleId="22">
    <w:name w:val="批注框文本 Char"/>
    <w:basedOn w:val="12"/>
    <w:link w:val="4"/>
    <w:semiHidden/>
    <w:qFormat/>
    <w:uiPriority w:val="99"/>
    <w:rPr>
      <w:sz w:val="18"/>
      <w:szCs w:val="18"/>
    </w:rPr>
  </w:style>
  <w:style w:type="character" w:customStyle="1" w:styleId="23">
    <w:name w:val="批注文字 Char"/>
    <w:basedOn w:val="12"/>
    <w:link w:val="2"/>
    <w:semiHidden/>
    <w:qFormat/>
    <w:uiPriority w:val="99"/>
  </w:style>
  <w:style w:type="character" w:customStyle="1" w:styleId="24">
    <w:name w:val="批注主题 Char"/>
    <w:basedOn w:val="23"/>
    <w:link w:val="8"/>
    <w:semiHidden/>
    <w:qFormat/>
    <w:uiPriority w:val="99"/>
    <w:rPr>
      <w:b/>
      <w:bC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E24768E-8E8D-49C5-8BA8-9191FB2D057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25</Pages>
  <Words>1732</Words>
  <Characters>9874</Characters>
  <Lines>82</Lines>
  <Paragraphs>23</Paragraphs>
  <TotalTime>810</TotalTime>
  <ScaleCrop>false</ScaleCrop>
  <LinksUpToDate>false</LinksUpToDate>
  <CharactersWithSpaces>11583</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2021-07-23T08:42:00Z</dcterms:created>
  <dc:creator>夏亮</dc:creator>
  <cp:lastModifiedBy>水晶</cp:lastModifiedBy>
  <cp:lastPrinted>2021-07-05T01:42:00Z</cp:lastPrinted>
  <dcterms:modified xsi:type="dcterms:W3CDTF">2021-11-10T07:47:07Z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C6768AF975A94295ACB64ADCF6726D1B</vt:lpwstr>
  </property>
</Properties>
</file>