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W w:w="15420" w:type="dxa"/>
        <w:tblInd w:w="-92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5"/>
        <w:gridCol w:w="3890"/>
        <w:gridCol w:w="6313"/>
        <w:gridCol w:w="432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15420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bottom"/>
          </w:tcPr>
          <w:p>
            <w:pPr>
              <w:widowControl/>
              <w:snapToGrid w:val="0"/>
              <w:rPr>
                <w:rFonts w:ascii="方正黑体_GBK" w:hAnsi="Times New Roman" w:eastAsia="方正黑体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color w:val="000000"/>
                <w:kern w:val="0"/>
                <w:sz w:val="32"/>
                <w:szCs w:val="32"/>
              </w:rPr>
              <w:t>附件：</w:t>
            </w:r>
          </w:p>
          <w:p>
            <w:pPr>
              <w:widowControl/>
              <w:snapToGrid w:val="0"/>
              <w:jc w:val="center"/>
              <w:rPr>
                <w:rFonts w:ascii="Times New Roman" w:hAnsi="Times New Roman" w:eastAsia="微软雅黑" w:cs="Times New Roman"/>
                <w:color w:val="000000"/>
                <w:kern w:val="0"/>
                <w:sz w:val="40"/>
                <w:szCs w:val="40"/>
              </w:rPr>
            </w:pPr>
            <w:r>
              <w:rPr>
                <w:rFonts w:ascii="Times New Roman" w:hAnsi="Times New Roman" w:eastAsia="方正小标宋_GBK" w:cs="Times New Roman"/>
                <w:color w:val="000000"/>
                <w:kern w:val="0"/>
                <w:sz w:val="36"/>
                <w:szCs w:val="36"/>
              </w:rPr>
              <w:t>202</w:t>
            </w:r>
            <w:r>
              <w:rPr>
                <w:rFonts w:hint="eastAsia" w:ascii="Times New Roman" w:hAnsi="Times New Roman" w:eastAsia="方正小标宋_GBK" w:cs="Times New Roman"/>
                <w:color w:val="000000"/>
                <w:kern w:val="0"/>
                <w:sz w:val="36"/>
                <w:szCs w:val="36"/>
              </w:rPr>
              <w:t>4</w:t>
            </w:r>
            <w:r>
              <w:rPr>
                <w:rFonts w:ascii="Times New Roman" w:hAnsi="Times New Roman" w:eastAsia="方正小标宋_GBK" w:cs="Times New Roman"/>
                <w:color w:val="000000"/>
                <w:kern w:val="0"/>
                <w:sz w:val="36"/>
                <w:szCs w:val="36"/>
              </w:rPr>
              <w:t>年度江苏省建设科技创新成果评审结果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89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方正黑体_GBK" w:hAnsi="Times New Roman" w:eastAsia="方正黑体_GBK" w:cs="Times New Roman"/>
                <w:color w:val="000000"/>
                <w:sz w:val="28"/>
                <w:szCs w:val="24"/>
              </w:rPr>
            </w:pPr>
            <w:r>
              <w:rPr>
                <w:rFonts w:hint="eastAsia" w:ascii="方正黑体_GBK" w:hAnsi="Times New Roman" w:eastAsia="方正黑体_GBK" w:cs="Times New Roman"/>
                <w:color w:val="000000"/>
                <w:sz w:val="28"/>
              </w:rPr>
              <w:t>奖次</w:t>
            </w:r>
          </w:p>
        </w:tc>
        <w:tc>
          <w:tcPr>
            <w:tcW w:w="38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方正黑体_GBK" w:hAnsi="Times New Roman" w:eastAsia="方正黑体_GBK" w:cs="Times New Roman"/>
                <w:color w:val="000000"/>
                <w:sz w:val="28"/>
                <w:szCs w:val="24"/>
              </w:rPr>
            </w:pPr>
            <w:r>
              <w:rPr>
                <w:rFonts w:hint="eastAsia" w:ascii="方正黑体_GBK" w:hAnsi="Times New Roman" w:eastAsia="方正黑体_GBK" w:cs="Times New Roman"/>
                <w:color w:val="000000"/>
                <w:sz w:val="28"/>
              </w:rPr>
              <w:t>项目名称</w:t>
            </w:r>
          </w:p>
        </w:tc>
        <w:tc>
          <w:tcPr>
            <w:tcW w:w="63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方正黑体_GBK" w:hAnsi="Times New Roman" w:eastAsia="方正黑体_GBK" w:cs="Times New Roman"/>
                <w:color w:val="000000"/>
                <w:sz w:val="28"/>
                <w:szCs w:val="24"/>
              </w:rPr>
            </w:pPr>
            <w:r>
              <w:rPr>
                <w:rFonts w:hint="eastAsia" w:ascii="方正黑体_GBK" w:hAnsi="Times New Roman" w:eastAsia="方正黑体_GBK" w:cs="Times New Roman"/>
                <w:color w:val="000000"/>
                <w:sz w:val="28"/>
              </w:rPr>
              <w:t>承担单位</w:t>
            </w:r>
          </w:p>
        </w:tc>
        <w:tc>
          <w:tcPr>
            <w:tcW w:w="43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方正黑体_GBK" w:hAnsi="Times New Roman" w:eastAsia="方正黑体_GBK" w:cs="Times New Roman"/>
                <w:color w:val="000000"/>
                <w:sz w:val="28"/>
                <w:szCs w:val="24"/>
              </w:rPr>
            </w:pPr>
            <w:r>
              <w:rPr>
                <w:rFonts w:hint="eastAsia" w:ascii="方正黑体_GBK" w:hAnsi="Times New Roman" w:eastAsia="方正黑体_GBK" w:cs="Times New Roman"/>
                <w:color w:val="000000"/>
                <w:sz w:val="28"/>
              </w:rPr>
              <w:t>项目完成人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9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一</w:t>
            </w:r>
          </w:p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等</w:t>
            </w:r>
          </w:p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奖</w:t>
            </w:r>
          </w:p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特色田园乡村建设关键路径研究与实践</w:t>
            </w:r>
          </w:p>
        </w:tc>
        <w:tc>
          <w:tcPr>
            <w:tcW w:w="6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江苏省乡村规划建设研究会、江苏省城镇与乡村规划设计院有限公司</w:t>
            </w:r>
          </w:p>
        </w:tc>
        <w:tc>
          <w:tcPr>
            <w:tcW w:w="43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周岚、梅耀林、路宏伟、曾洁、崔曙平、王菁、富伟、陈宇琼、王立韬、仇璟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盾构隧道环切式顶推法联络通道施工关键技术研究</w:t>
            </w:r>
          </w:p>
        </w:tc>
        <w:tc>
          <w:tcPr>
            <w:tcW w:w="6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中亿丰建设集团股份有限公司、苏州轨道交通市域一号线有限公司</w:t>
            </w:r>
          </w:p>
        </w:tc>
        <w:tc>
          <w:tcPr>
            <w:tcW w:w="43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李向红、宫长义、刘剑、蔡荣、陈伟、吴强、尉胜伟、周顺新、华俊凯、宋敏、李海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基于大数据模型的城市数字体征诊断和规划决策支持方法</w:t>
            </w:r>
          </w:p>
        </w:tc>
        <w:tc>
          <w:tcPr>
            <w:tcW w:w="6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东南大学、南京东南大学城市规划设计研究院有限公司</w:t>
            </w:r>
          </w:p>
        </w:tc>
        <w:tc>
          <w:tcPr>
            <w:tcW w:w="43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史宜、杨俊宴、史北祥、郑屹、章飙、潘奕巍、邵典、张钟虎、张珣、盛华星、崔澳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9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结构健康智慧监测与防灾预警技术</w:t>
            </w:r>
          </w:p>
        </w:tc>
        <w:tc>
          <w:tcPr>
            <w:tcW w:w="6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江苏省建筑工程质量检测中心有限公司、中建八局第三建设有限公司、苏州工业园区建设工程质量检测咨询服务有限公司</w:t>
            </w:r>
          </w:p>
        </w:tc>
        <w:tc>
          <w:tcPr>
            <w:tcW w:w="43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汤东婴、孙正华、张莉、魏晓斌、徐晓晖、陆斌、钮慧娟、汤秋华、蒋俣、刘洋、郭建祥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9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二</w:t>
            </w:r>
          </w:p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等</w:t>
            </w:r>
          </w:p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奖</w:t>
            </w:r>
          </w:p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轨道交通隧道结构健康智能感知装备与关键技术研发应用</w:t>
            </w:r>
          </w:p>
        </w:tc>
        <w:tc>
          <w:tcPr>
            <w:tcW w:w="6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南京市测绘勘察研究院股份有限公司、南京地铁运营有限责任公司、同济大学、上海勃发空间信息技术有限公司</w:t>
            </w:r>
          </w:p>
        </w:tc>
        <w:tc>
          <w:tcPr>
            <w:tcW w:w="43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金雪莲、乔小雷、姚连璧、张开坤、段伟、王兆洋、许正文、王跃锋、岳荣花、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城市河道水环境综合整治关键技术研究与工程应用</w:t>
            </w:r>
          </w:p>
        </w:tc>
        <w:tc>
          <w:tcPr>
            <w:tcW w:w="6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南京市市政设计研究院有限责任公司、东南大学、江苏省环境工程技术有限公司</w:t>
            </w:r>
          </w:p>
        </w:tc>
        <w:tc>
          <w:tcPr>
            <w:tcW w:w="43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孔宇、戴德胜、杨小丽、聂泽宇、夏文林、成昌艮、蔡颖、孙巍、任军俊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新型高效预应力预制装配式构件及其结构体系的研究及工程应用</w:t>
            </w:r>
          </w:p>
        </w:tc>
        <w:tc>
          <w:tcPr>
            <w:tcW w:w="6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江苏海洋大学、连云港市建筑设计研究院有限责任公司、灌云县建筑工程质量监督站、常州工学院、南京大学建筑规划设计研究院有限公司</w:t>
            </w:r>
          </w:p>
        </w:tc>
        <w:tc>
          <w:tcPr>
            <w:tcW w:w="43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蔡小宁、李青松、郭前会、徐建凯、冷斌、李世歌、杨浩、何永福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超高韧性环氧树脂特种铺装建设与养护成套技术</w:t>
            </w:r>
          </w:p>
        </w:tc>
        <w:tc>
          <w:tcPr>
            <w:tcW w:w="6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中路交科科技股份有限公司、江苏中路工程技术研究院有限公司、江苏长路智造科技有限公司</w:t>
            </w:r>
          </w:p>
        </w:tc>
        <w:tc>
          <w:tcPr>
            <w:tcW w:w="43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张志祥、张辉、李款、陈李峰、潘友强、李娣、罗瑞林、崔磊、孔令林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城市内涝预警与防控关键技术应用与示范</w:t>
            </w:r>
          </w:p>
        </w:tc>
        <w:tc>
          <w:tcPr>
            <w:tcW w:w="6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南京信息工程大学、江苏长</w:t>
            </w:r>
            <w:bookmarkStart w:id="0" w:name="_GoBack"/>
            <w:bookmarkEnd w:id="0"/>
            <w:r>
              <w:rPr>
                <w:rFonts w:hint="eastAsia"/>
                <w:color w:val="000000"/>
              </w:rPr>
              <w:t>三角智慧水务研究院有限公司、江苏省城镇供水安全保障中心、南京江北新区公用控股集团有限公司</w:t>
            </w:r>
          </w:p>
        </w:tc>
        <w:tc>
          <w:tcPr>
            <w:tcW w:w="43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刘敏、徐进超、王荣合、刘一、伍枝祥、林国峰、陈天放、李兰娟、范科飞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95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城镇老旧小区改造适宜技术体系研究与应用</w:t>
            </w:r>
          </w:p>
        </w:tc>
        <w:tc>
          <w:tcPr>
            <w:tcW w:w="6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江苏省住房和城乡建设厅科技发展中心、江苏省建筑科学研究院有限公司、南京回归建筑环境设计研究院有限公司</w:t>
            </w:r>
          </w:p>
        </w:tc>
        <w:tc>
          <w:tcPr>
            <w:tcW w:w="43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张跃峰、张赟、刘辉、吴志敏、丁小梅、李湘琳、赵慧媛、陈婧、邵慧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</w:trPr>
        <w:tc>
          <w:tcPr>
            <w:tcW w:w="895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三</w:t>
            </w:r>
          </w:p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等</w:t>
            </w:r>
          </w:p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奖</w:t>
            </w:r>
          </w:p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现代复杂宗教建筑火灾后诊断与修复关键技术及应用</w:t>
            </w:r>
          </w:p>
        </w:tc>
        <w:tc>
          <w:tcPr>
            <w:tcW w:w="6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中国建筑第八工程局有限公司、江苏省建筑科学研究院有限公司、东南大学、南京工程学院、河海大学</w:t>
            </w:r>
          </w:p>
        </w:tc>
        <w:tc>
          <w:tcPr>
            <w:tcW w:w="43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孙晓阳、李世宏、王永泉、颜卫东、韩桂圣、左岗、喻君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超大型建筑智能低碳安全运维关键技术研究与示范</w:t>
            </w:r>
          </w:p>
        </w:tc>
        <w:tc>
          <w:tcPr>
            <w:tcW w:w="6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苏州科技大学、苏州思萃融合基建技术研究所有限公司</w:t>
            </w:r>
          </w:p>
        </w:tc>
        <w:tc>
          <w:tcPr>
            <w:tcW w:w="43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吴宏杰、傅启明、马杰、王陆平、陆悠、邱劲、陈静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工程健康监测与智慧诊断创新技术的研究与应用</w:t>
            </w:r>
          </w:p>
        </w:tc>
        <w:tc>
          <w:tcPr>
            <w:tcW w:w="6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常州市建筑科学研究院集团股份有限公司、同济大学、常安城市公共安全技术有限公司</w:t>
            </w:r>
          </w:p>
        </w:tc>
        <w:tc>
          <w:tcPr>
            <w:tcW w:w="43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黄彬、张宇捷、单伽锃、沈杰、岳朋成、徐德志、顾荣军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多维度竹/竹木复合工程材在建筑领域应用关键技术</w:t>
            </w:r>
          </w:p>
        </w:tc>
        <w:tc>
          <w:tcPr>
            <w:tcW w:w="6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南京林业大学、江苏邗建集团有限公司、苏州昆仑绿建木结构科技股份有限公司、江苏见竹绿建竹材科技股份有限公司、扬州三恒建设工程有限公司</w:t>
            </w:r>
          </w:p>
        </w:tc>
        <w:tc>
          <w:tcPr>
            <w:tcW w:w="43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王志强、郑维、鞠泽辉、李宏敏、高艳波、崔春银、顾佳云、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地铁TOD项目深基坑精细化建造关键技术及工程应用</w:t>
            </w:r>
          </w:p>
        </w:tc>
        <w:tc>
          <w:tcPr>
            <w:tcW w:w="6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中建八局第三建设有限公司、南京市建筑工程质量安全监督站、南京市测绘勘察研究院股份有限公司、同济大学</w:t>
            </w:r>
          </w:p>
        </w:tc>
        <w:tc>
          <w:tcPr>
            <w:tcW w:w="43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包晗、王晓峰、金雪莲、木林隆、景国涛、肖汉、付守印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江苏省城市更新行动指引（2023版）</w:t>
            </w:r>
          </w:p>
        </w:tc>
        <w:tc>
          <w:tcPr>
            <w:tcW w:w="6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江苏省城市规划设计研究院有限公司、江苏省城镇化和城乡规划研究中心</w:t>
            </w:r>
          </w:p>
        </w:tc>
        <w:tc>
          <w:tcPr>
            <w:tcW w:w="43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金文、梅耀林、何伶俊、王海勇、丁志刚、黄伟、李鸣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基于BIM+AIOT智能建造工业互联网平台关键技术及应用</w:t>
            </w:r>
          </w:p>
        </w:tc>
        <w:tc>
          <w:tcPr>
            <w:tcW w:w="6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中亿丰数字科技集团股份有限公司、中亿丰建设集团股份有限公司、东南大学、同济大学、苏州市相城区建设工程质量安全监督中心</w:t>
            </w:r>
          </w:p>
        </w:tc>
        <w:tc>
          <w:tcPr>
            <w:tcW w:w="43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汪丛军、邹胜、宋敏、宫长义、徐照、杨彬、朱逢斌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城市绿地全生命周期营建关键技术体系与应用</w:t>
            </w:r>
          </w:p>
        </w:tc>
        <w:tc>
          <w:tcPr>
            <w:tcW w:w="6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金埔园林股份有限公司、南京林业大学、江苏山水环境建设集团股份有限公司</w:t>
            </w:r>
          </w:p>
        </w:tc>
        <w:tc>
          <w:tcPr>
            <w:tcW w:w="43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窦逗、圣倩倩、庄凯、祝遵凌、陈卫连、刘雁丽、李卫正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可再生能源与建筑一体化应用研究</w:t>
            </w:r>
          </w:p>
        </w:tc>
        <w:tc>
          <w:tcPr>
            <w:tcW w:w="6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南京长江都市建筑设计股份有限公司、江苏省住房和城乡建设厅科技发展中心、东南大学、江苏光芒新能源股份有限公司</w:t>
            </w:r>
          </w:p>
        </w:tc>
        <w:tc>
          <w:tcPr>
            <w:tcW w:w="4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田炜、张跃峰、祝侃、陈振乾、王登云、马巍菲、肖冰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大宗废弃水泥混凝土资源化利用关键技术开发及应用</w:t>
            </w:r>
          </w:p>
        </w:tc>
        <w:tc>
          <w:tcPr>
            <w:tcW w:w="6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江苏科技大学、中建安装集团有限公司、东晟兴诚集团有限公司、江苏天润环境建设集团有限公司、江苏邗建集团有限公司</w:t>
            </w:r>
          </w:p>
        </w:tc>
        <w:tc>
          <w:tcPr>
            <w:tcW w:w="4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李茂、伊海赫、王安辉、罗志强、祝飞飞、周友勇、孙小峰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专业足球主场馆建造关键技术</w:t>
            </w:r>
          </w:p>
        </w:tc>
        <w:tc>
          <w:tcPr>
            <w:tcW w:w="6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中建八局第三建设有限公司</w:t>
            </w:r>
          </w:p>
        </w:tc>
        <w:tc>
          <w:tcPr>
            <w:tcW w:w="4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杨斌、唐潮、邱健、候文涛、管磊、马怀章、张余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江苏省《城市地下综合管廊图集》</w:t>
            </w:r>
          </w:p>
        </w:tc>
        <w:tc>
          <w:tcPr>
            <w:tcW w:w="6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华昕设计集团有限公司、悉地(苏州)勘察设计顾问有限公司</w:t>
            </w:r>
          </w:p>
        </w:tc>
        <w:tc>
          <w:tcPr>
            <w:tcW w:w="4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聂荣海、郭红敏、袁杰、徐云飞、陆敏博、李新闻、赵冬冬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全预制装配式桥梁新型连接构造设计与应用</w:t>
            </w:r>
          </w:p>
        </w:tc>
        <w:tc>
          <w:tcPr>
            <w:tcW w:w="6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东南大学、江苏瑞沃建设集团有限公司、江苏弘盛建设工程集团有限公司</w:t>
            </w:r>
          </w:p>
        </w:tc>
        <w:tc>
          <w:tcPr>
            <w:tcW w:w="4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万水、孙小峰、符俊冬、余付林、付理想、陈常春、王国平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螺纹扩大体钢桩新型支护体系关键技术研究与应用</w:t>
            </w:r>
          </w:p>
        </w:tc>
        <w:tc>
          <w:tcPr>
            <w:tcW w:w="6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江苏建院营造股份有限公司</w:t>
            </w:r>
          </w:p>
        </w:tc>
        <w:tc>
          <w:tcPr>
            <w:tcW w:w="4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高强、吴斌华、魏鹏、黎寒冰、孙飞、袁东、周聪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空间斜拉索吊挂钢框架环形建筑群关键技术研究</w:t>
            </w:r>
          </w:p>
        </w:tc>
        <w:tc>
          <w:tcPr>
            <w:tcW w:w="6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中建八局第三建设有限公司、同济大学建筑设计研究院（集团）有限公司</w:t>
            </w:r>
          </w:p>
        </w:tc>
        <w:tc>
          <w:tcPr>
            <w:tcW w:w="4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曲扬、谢波、梅江涛、唐潮、付崑、张伟伟、全有维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地下综合管廊防灾与应急关键技术研究</w:t>
            </w:r>
          </w:p>
        </w:tc>
        <w:tc>
          <w:tcPr>
            <w:tcW w:w="6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苏交科集团股份有限公司、连云港徐圩港口物流有限公司、河南理工大学、江苏省城市规划设计研究院有限公司、中冶华天南京工程技术有限公司</w:t>
            </w:r>
          </w:p>
        </w:tc>
        <w:tc>
          <w:tcPr>
            <w:tcW w:w="4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赵光、邱金鹏、陈喜坤、刘彦伟、杨杰、曹国华、高保彬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大宗建材制造过程碳化增值关键技术研究</w:t>
            </w:r>
          </w:p>
        </w:tc>
        <w:tc>
          <w:tcPr>
            <w:tcW w:w="6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江苏镇江建筑科学研究院集团股份有限公司、东南大学、盐城工学院、镇江市静脉产业发展有限公司、北京耐尔得智能科技有限公司</w:t>
            </w:r>
          </w:p>
        </w:tc>
        <w:tc>
          <w:tcPr>
            <w:tcW w:w="4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蒙海宁、许彦明、潘钢华、卢豹、张卉伊、唐德波、陆小军、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江苏省城乡统筹区域供水模式研究</w:t>
            </w:r>
          </w:p>
        </w:tc>
        <w:tc>
          <w:tcPr>
            <w:tcW w:w="6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江苏省城市规划设计研究院有限公司</w:t>
            </w:r>
          </w:p>
        </w:tc>
        <w:tc>
          <w:tcPr>
            <w:tcW w:w="4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朱建国、施卫红、孔赟、冯博、黄咏洲、陈桂顶、王文韬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高密度数据中心热环境模拟及节能技术的研究与应用</w:t>
            </w:r>
          </w:p>
        </w:tc>
        <w:tc>
          <w:tcPr>
            <w:tcW w:w="6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中国电子系统工程第二建设有限公司</w:t>
            </w:r>
          </w:p>
        </w:tc>
        <w:tc>
          <w:tcPr>
            <w:tcW w:w="4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董连东、张柯、吴建华、华来珍、鲍允州、王亚军、王卫刚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预制桩创新的标准化、产业化路径研究与实践</w:t>
            </w:r>
          </w:p>
        </w:tc>
        <w:tc>
          <w:tcPr>
            <w:tcW w:w="6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江苏省建筑设计研究院股份有限公司、江苏省工程建设标准站、江苏省住房和城乡建设厅科技发展中心、连云港市建筑设计研究院有限责任公司、金陵科技学院</w:t>
            </w:r>
          </w:p>
        </w:tc>
        <w:tc>
          <w:tcPr>
            <w:tcW w:w="4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金如元、陈军、郭健、朱文运、李世歌、缪海林、孙传智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EPC模式下片区基础设施开发综合施工技术</w:t>
            </w:r>
          </w:p>
        </w:tc>
        <w:tc>
          <w:tcPr>
            <w:tcW w:w="6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中建八局第三建设有限公司、中国建筑第八工程局有限公司</w:t>
            </w:r>
          </w:p>
        </w:tc>
        <w:tc>
          <w:tcPr>
            <w:tcW w:w="4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杨超、何义、范小叶、季飞、方舟、汪洋、全有维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8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建筑全过程绿色低碳数字化综合技术研究与应用</w:t>
            </w:r>
          </w:p>
        </w:tc>
        <w:tc>
          <w:tcPr>
            <w:tcW w:w="6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中亿丰建设集团股份有限公司、苏州二建建筑集团有限公司</w:t>
            </w:r>
          </w:p>
        </w:tc>
        <w:tc>
          <w:tcPr>
            <w:tcW w:w="43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赵健、宋敏、羊宏、周文赟、严峻岭、周立人、汪少波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89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8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</w:rPr>
              <w:t>基于双碳背景下的新型扩底承载式斜支撑(TDK)关键技术研发与应用</w:t>
            </w:r>
          </w:p>
        </w:tc>
        <w:tc>
          <w:tcPr>
            <w:tcW w:w="6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江苏华岩建设有限公司、河海大学、重庆大学、中冶华天工程技术有限公司、苏州大学</w:t>
            </w:r>
          </w:p>
        </w:tc>
        <w:tc>
          <w:tcPr>
            <w:tcW w:w="43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苏丽荣、袁运涛、李苏春、李玉萍、仉文岗、王步翔、陈甦</w:t>
            </w:r>
          </w:p>
        </w:tc>
      </w:tr>
    </w:tbl>
    <w:p>
      <w:pPr>
        <w:rPr>
          <w:rFonts w:ascii="Times New Roman" w:hAnsi="Times New Roman" w:cs="Times New Roman"/>
        </w:rPr>
      </w:pPr>
    </w:p>
    <w:p>
      <w:pPr>
        <w:rPr>
          <w:rFonts w:ascii="Times New Roman" w:hAnsi="Times New Roman" w:cs="Times New Roman"/>
        </w:rPr>
      </w:pPr>
    </w:p>
    <w:sectPr>
      <w:pgSz w:w="16838" w:h="11906" w:orient="landscape"/>
      <w:pgMar w:top="1588" w:right="1440" w:bottom="1588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C4BE3"/>
    <w:rsid w:val="00005145"/>
    <w:rsid w:val="00020AC7"/>
    <w:rsid w:val="000905D5"/>
    <w:rsid w:val="000C40D3"/>
    <w:rsid w:val="000C7E58"/>
    <w:rsid w:val="000F5DC6"/>
    <w:rsid w:val="00122C27"/>
    <w:rsid w:val="00155CEB"/>
    <w:rsid w:val="00180C9D"/>
    <w:rsid w:val="001B642F"/>
    <w:rsid w:val="001C52B9"/>
    <w:rsid w:val="001D653A"/>
    <w:rsid w:val="001D6943"/>
    <w:rsid w:val="001E00E7"/>
    <w:rsid w:val="001E757D"/>
    <w:rsid w:val="001F7C4A"/>
    <w:rsid w:val="002021B4"/>
    <w:rsid w:val="002462AD"/>
    <w:rsid w:val="0025628C"/>
    <w:rsid w:val="002755FA"/>
    <w:rsid w:val="002920BD"/>
    <w:rsid w:val="00295077"/>
    <w:rsid w:val="002A4C6D"/>
    <w:rsid w:val="002E41C0"/>
    <w:rsid w:val="00311CFD"/>
    <w:rsid w:val="00322812"/>
    <w:rsid w:val="00336160"/>
    <w:rsid w:val="00356E61"/>
    <w:rsid w:val="0036316F"/>
    <w:rsid w:val="00367691"/>
    <w:rsid w:val="00367FCD"/>
    <w:rsid w:val="00372956"/>
    <w:rsid w:val="00392EA6"/>
    <w:rsid w:val="00394007"/>
    <w:rsid w:val="003B4CE7"/>
    <w:rsid w:val="003D17B6"/>
    <w:rsid w:val="003F5572"/>
    <w:rsid w:val="00403F4D"/>
    <w:rsid w:val="0040544A"/>
    <w:rsid w:val="00405F07"/>
    <w:rsid w:val="00441097"/>
    <w:rsid w:val="0049279E"/>
    <w:rsid w:val="004B7269"/>
    <w:rsid w:val="004E03C0"/>
    <w:rsid w:val="004F6A97"/>
    <w:rsid w:val="0050146E"/>
    <w:rsid w:val="00507B3B"/>
    <w:rsid w:val="00521ED0"/>
    <w:rsid w:val="00527ABB"/>
    <w:rsid w:val="00541258"/>
    <w:rsid w:val="00547F37"/>
    <w:rsid w:val="00560CBE"/>
    <w:rsid w:val="00563FF9"/>
    <w:rsid w:val="00595F34"/>
    <w:rsid w:val="005C52FE"/>
    <w:rsid w:val="005F0EB3"/>
    <w:rsid w:val="006036CA"/>
    <w:rsid w:val="00615D4B"/>
    <w:rsid w:val="006163E9"/>
    <w:rsid w:val="00630AA3"/>
    <w:rsid w:val="00632970"/>
    <w:rsid w:val="00645AA3"/>
    <w:rsid w:val="00651E92"/>
    <w:rsid w:val="00662E17"/>
    <w:rsid w:val="00663454"/>
    <w:rsid w:val="00693496"/>
    <w:rsid w:val="006A2FBA"/>
    <w:rsid w:val="006A67F9"/>
    <w:rsid w:val="006C14A6"/>
    <w:rsid w:val="006E1543"/>
    <w:rsid w:val="007239FD"/>
    <w:rsid w:val="007A04E1"/>
    <w:rsid w:val="007A3888"/>
    <w:rsid w:val="007A5B69"/>
    <w:rsid w:val="007C7699"/>
    <w:rsid w:val="007E1052"/>
    <w:rsid w:val="007F75FB"/>
    <w:rsid w:val="007F7A03"/>
    <w:rsid w:val="00812E22"/>
    <w:rsid w:val="00813AA8"/>
    <w:rsid w:val="00832E38"/>
    <w:rsid w:val="00860B9A"/>
    <w:rsid w:val="00873B37"/>
    <w:rsid w:val="00880FB4"/>
    <w:rsid w:val="00890D41"/>
    <w:rsid w:val="008D3617"/>
    <w:rsid w:val="00910358"/>
    <w:rsid w:val="00945FD2"/>
    <w:rsid w:val="00964FEE"/>
    <w:rsid w:val="0096626F"/>
    <w:rsid w:val="00976651"/>
    <w:rsid w:val="009A0264"/>
    <w:rsid w:val="009B4043"/>
    <w:rsid w:val="009B4E82"/>
    <w:rsid w:val="009C5A91"/>
    <w:rsid w:val="009E4676"/>
    <w:rsid w:val="009E64C6"/>
    <w:rsid w:val="009E751C"/>
    <w:rsid w:val="009F6F8E"/>
    <w:rsid w:val="00A14852"/>
    <w:rsid w:val="00A37A55"/>
    <w:rsid w:val="00A462D0"/>
    <w:rsid w:val="00A90EF6"/>
    <w:rsid w:val="00AC43AB"/>
    <w:rsid w:val="00AE1E86"/>
    <w:rsid w:val="00B006BF"/>
    <w:rsid w:val="00B052D9"/>
    <w:rsid w:val="00B23948"/>
    <w:rsid w:val="00B373ED"/>
    <w:rsid w:val="00B47BBA"/>
    <w:rsid w:val="00B91E86"/>
    <w:rsid w:val="00B91EC7"/>
    <w:rsid w:val="00B94CC7"/>
    <w:rsid w:val="00BA5617"/>
    <w:rsid w:val="00BD589B"/>
    <w:rsid w:val="00BD76E4"/>
    <w:rsid w:val="00BE0D21"/>
    <w:rsid w:val="00BE6330"/>
    <w:rsid w:val="00BF5252"/>
    <w:rsid w:val="00C00DA4"/>
    <w:rsid w:val="00C2606B"/>
    <w:rsid w:val="00C61A61"/>
    <w:rsid w:val="00C62930"/>
    <w:rsid w:val="00CB26E6"/>
    <w:rsid w:val="00CB5FF6"/>
    <w:rsid w:val="00CD12EE"/>
    <w:rsid w:val="00CF48DC"/>
    <w:rsid w:val="00D047DC"/>
    <w:rsid w:val="00D123F1"/>
    <w:rsid w:val="00D20E02"/>
    <w:rsid w:val="00D8459E"/>
    <w:rsid w:val="00D84E1D"/>
    <w:rsid w:val="00DC29EB"/>
    <w:rsid w:val="00DE0E8A"/>
    <w:rsid w:val="00DF53E1"/>
    <w:rsid w:val="00E10027"/>
    <w:rsid w:val="00E21BDD"/>
    <w:rsid w:val="00E34723"/>
    <w:rsid w:val="00E573A1"/>
    <w:rsid w:val="00E70260"/>
    <w:rsid w:val="00EA60A4"/>
    <w:rsid w:val="00EB620F"/>
    <w:rsid w:val="00EB7126"/>
    <w:rsid w:val="00EC4BE3"/>
    <w:rsid w:val="00ED1F04"/>
    <w:rsid w:val="00F14E22"/>
    <w:rsid w:val="00F15AD6"/>
    <w:rsid w:val="00F4107B"/>
    <w:rsid w:val="00FD1D0A"/>
    <w:rsid w:val="00FE0B6D"/>
    <w:rsid w:val="00FF4B02"/>
    <w:rsid w:val="357F38BE"/>
    <w:rsid w:val="696F8A24"/>
    <w:rsid w:val="6FDF9513"/>
    <w:rsid w:val="F4BB3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515</Words>
  <Characters>2942</Characters>
  <Lines>24</Lines>
  <Paragraphs>6</Paragraphs>
  <TotalTime>0</TotalTime>
  <ScaleCrop>false</ScaleCrop>
  <LinksUpToDate>false</LinksUpToDate>
  <CharactersWithSpaces>3451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2020-06-11T14:36:00Z</dcterms:created>
  <dc:creator>Dell</dc:creator>
  <cp:lastModifiedBy>zjt</cp:lastModifiedBy>
  <cp:lastPrinted>2024-08-16T08:58:00Z</cp:lastPrinted>
  <dcterms:modified xsi:type="dcterms:W3CDTF">2024-08-15T15:20:43Z</dcterms:modified>
  <cp:revision>40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