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jc w:val="center"/>
        <w:rPr>
          <w:b/>
          <w:bCs/>
          <w:sz w:val="48"/>
          <w:szCs w:val="56"/>
        </w:rPr>
      </w:pPr>
      <w:r>
        <w:rPr>
          <w:rFonts w:hint="eastAsia"/>
          <w:b/>
          <w:bCs/>
          <w:sz w:val="48"/>
          <w:szCs w:val="56"/>
        </w:rPr>
        <w:t>江苏省绿色建造技术导则（试行）</w:t>
      </w:r>
    </w:p>
    <w:p>
      <w:pPr>
        <w:adjustRightInd w:val="0"/>
        <w:snapToGrid w:val="0"/>
        <w:spacing w:line="360" w:lineRule="auto"/>
        <w:jc w:val="center"/>
        <w:rPr>
          <w:rFonts w:hint="eastAsia" w:ascii="宋体" w:hAnsi="宋体" w:eastAsia="宋体" w:cs="宋体"/>
          <w:sz w:val="32"/>
          <w:szCs w:val="40"/>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rPr>
          <w:sz w:val="22"/>
          <w:szCs w:val="28"/>
        </w:rPr>
      </w:pPr>
    </w:p>
    <w:p>
      <w:pPr>
        <w:adjustRightInd w:val="0"/>
        <w:snapToGrid w:val="0"/>
        <w:spacing w:line="360" w:lineRule="auto"/>
        <w:jc w:val="center"/>
        <w:rPr>
          <w:rFonts w:hint="eastAsia" w:ascii="宋体" w:hAnsi="宋体" w:eastAsia="宋体" w:cs="宋体"/>
          <w:sz w:val="28"/>
          <w:szCs w:val="36"/>
        </w:rPr>
      </w:pPr>
      <w:r>
        <w:rPr>
          <w:rFonts w:hint="eastAsia" w:ascii="宋体" w:hAnsi="宋体" w:eastAsia="宋体" w:cs="宋体"/>
          <w:sz w:val="28"/>
          <w:szCs w:val="36"/>
        </w:rPr>
        <w:t>江苏省住房和城乡建设厅</w:t>
      </w:r>
    </w:p>
    <w:p>
      <w:pPr>
        <w:adjustRightInd w:val="0"/>
        <w:snapToGrid w:val="0"/>
        <w:spacing w:line="360" w:lineRule="auto"/>
        <w:jc w:val="center"/>
        <w:rPr>
          <w:rFonts w:hint="eastAsia" w:ascii="宋体" w:hAnsi="宋体" w:eastAsia="宋体" w:cs="宋体"/>
          <w:sz w:val="28"/>
          <w:szCs w:val="36"/>
        </w:rPr>
      </w:pPr>
      <w:bookmarkStart w:id="42" w:name="_GoBack"/>
      <w:bookmarkEnd w:id="42"/>
      <w:r>
        <w:rPr>
          <w:rFonts w:hint="eastAsia" w:ascii="宋体" w:hAnsi="宋体" w:eastAsia="宋体" w:cs="宋体"/>
          <w:sz w:val="28"/>
          <w:szCs w:val="36"/>
        </w:rPr>
        <w:t>2025年9月</w:t>
      </w:r>
    </w:p>
    <w:p>
      <w:pPr>
        <w:adjustRightInd w:val="0"/>
        <w:snapToGrid w:val="0"/>
        <w:spacing w:line="360" w:lineRule="auto"/>
        <w:jc w:val="center"/>
        <w:rPr>
          <w:rFonts w:hint="eastAsia" w:ascii="宋体" w:hAnsi="宋体" w:eastAsia="宋体" w:cs="宋体"/>
          <w:sz w:val="28"/>
          <w:szCs w:val="36"/>
        </w:rPr>
      </w:pPr>
    </w:p>
    <w:p>
      <w:pPr>
        <w:adjustRightInd w:val="0"/>
        <w:snapToGrid w:val="0"/>
        <w:spacing w:line="360" w:lineRule="auto"/>
        <w:jc w:val="center"/>
        <w:rPr>
          <w:rFonts w:hint="eastAsia" w:ascii="宋体" w:hAnsi="宋体" w:eastAsia="宋体" w:cs="宋体"/>
          <w:sz w:val="28"/>
          <w:szCs w:val="36"/>
        </w:rPr>
      </w:pPr>
    </w:p>
    <w:sdt>
      <w:sdtPr>
        <w:rPr>
          <w:rFonts w:hint="eastAsia" w:asciiTheme="minorEastAsia" w:hAnsiTheme="minorEastAsia" w:cstheme="minorEastAsia"/>
          <w:sz w:val="28"/>
          <w:szCs w:val="28"/>
        </w:rPr>
        <w:id w:val="147481444"/>
        <w15:color w:val="DBDBDB"/>
        <w:docPartObj>
          <w:docPartGallery w:val="Table of Contents"/>
          <w:docPartUnique/>
        </w:docPartObj>
      </w:sdtPr>
      <w:sdtEndPr>
        <w:rPr>
          <w:rFonts w:hint="eastAsia" w:ascii="宋体" w:hAnsi="宋体" w:eastAsia="宋体" w:cs="宋体"/>
          <w:b/>
          <w:sz w:val="28"/>
          <w:szCs w:val="28"/>
        </w:rPr>
      </w:sdtEndPr>
      <w:sdtContent>
        <w:p>
          <w:pPr>
            <w:adjustRightInd w:val="0"/>
            <w:snapToGrid w:val="0"/>
            <w:spacing w:line="360" w:lineRule="auto"/>
            <w:jc w:val="center"/>
            <w:rPr>
              <w:rFonts w:hint="eastAsia" w:asciiTheme="minorEastAsia" w:hAnsiTheme="minorEastAsia" w:cstheme="minorEastAsia"/>
              <w:sz w:val="28"/>
              <w:szCs w:val="28"/>
            </w:rPr>
          </w:pPr>
          <w:r>
            <w:rPr>
              <w:rFonts w:hint="eastAsia" w:asciiTheme="minorEastAsia" w:hAnsiTheme="minorEastAsia" w:cstheme="minorEastAsia"/>
              <w:sz w:val="28"/>
              <w:szCs w:val="28"/>
            </w:rPr>
            <w:t>目  录</w:t>
          </w:r>
        </w:p>
        <w:p>
          <w:pPr>
            <w:pStyle w:val="7"/>
            <w:tabs>
              <w:tab w:val="right" w:leader="dot" w:pos="8306"/>
            </w:tabs>
            <w:adjustRightInd w:val="0"/>
            <w:snapToGrid w:val="0"/>
            <w:spacing w:line="360" w:lineRule="auto"/>
            <w:rPr>
              <w:rFonts w:hint="eastAsia" w:asciiTheme="minorEastAsia" w:hAnsiTheme="minorEastAsia" w:cstheme="minorEastAsia"/>
              <w:sz w:val="28"/>
              <w:szCs w:val="28"/>
            </w:rPr>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TOC \o "1-2" \h \u </w:instrText>
          </w:r>
          <w:r>
            <w:rPr>
              <w:rFonts w:hint="eastAsia" w:asciiTheme="minorEastAsia" w:hAnsiTheme="minorEastAsia" w:cstheme="minorEastAsia"/>
              <w:sz w:val="28"/>
              <w:szCs w:val="28"/>
            </w:rPr>
            <w:fldChar w:fldCharType="separate"/>
          </w:r>
          <w:r>
            <w:fldChar w:fldCharType="begin"/>
          </w:r>
          <w:r>
            <w:instrText xml:space="preserve"> HYPERLINK \l "_Toc18652" </w:instrText>
          </w:r>
          <w:r>
            <w:fldChar w:fldCharType="separate"/>
          </w:r>
          <w:r>
            <w:rPr>
              <w:rFonts w:hint="eastAsia" w:asciiTheme="minorEastAsia" w:hAnsiTheme="minorEastAsia" w:cstheme="minorEastAsia"/>
              <w:sz w:val="28"/>
              <w:szCs w:val="28"/>
            </w:rPr>
            <w:t>1 总则</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_Toc18652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7"/>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"_Toc3480" </w:instrText>
          </w:r>
          <w:r>
            <w:fldChar w:fldCharType="separate"/>
          </w:r>
          <w:r>
            <w:rPr>
              <w:rFonts w:hint="eastAsia" w:asciiTheme="minorEastAsia" w:hAnsiTheme="minorEastAsia" w:cstheme="minorEastAsia"/>
              <w:sz w:val="28"/>
              <w:szCs w:val="28"/>
            </w:rPr>
            <w:t>2 术语</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_Toc3480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2</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7"/>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"_Toc13263" </w:instrText>
          </w:r>
          <w:r>
            <w:fldChar w:fldCharType="separate"/>
          </w:r>
          <w:r>
            <w:rPr>
              <w:rFonts w:hint="eastAsia" w:asciiTheme="minorEastAsia" w:hAnsiTheme="minorEastAsia" w:cstheme="minorEastAsia"/>
              <w:sz w:val="28"/>
              <w:szCs w:val="28"/>
            </w:rPr>
            <w:t>3 基本规定</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_Toc13263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3</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7"/>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"_Toc13783" </w:instrText>
          </w:r>
          <w:r>
            <w:fldChar w:fldCharType="separate"/>
          </w:r>
          <w:r>
            <w:rPr>
              <w:rFonts w:hint="eastAsia" w:asciiTheme="minorEastAsia" w:hAnsiTheme="minorEastAsia" w:cstheme="minorEastAsia"/>
              <w:sz w:val="28"/>
              <w:szCs w:val="28"/>
            </w:rPr>
            <w:t>4 绿色策划</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_Toc13783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4</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"_Toc7144" </w:instrText>
          </w:r>
          <w:r>
            <w:fldChar w:fldCharType="separate"/>
          </w:r>
          <w:r>
            <w:rPr>
              <w:rFonts w:hint="eastAsia" w:asciiTheme="minorEastAsia" w:hAnsiTheme="minorEastAsia" w:cstheme="minorEastAsia"/>
              <w:sz w:val="28"/>
              <w:szCs w:val="28"/>
            </w:rPr>
            <w:t>4.1 一般规定</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_Toc7144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4</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"_Toc1705" </w:instrText>
          </w:r>
          <w:r>
            <w:fldChar w:fldCharType="separate"/>
          </w:r>
          <w:r>
            <w:rPr>
              <w:rFonts w:hint="eastAsia" w:asciiTheme="minorEastAsia" w:hAnsiTheme="minorEastAsia" w:cstheme="minorEastAsia"/>
              <w:sz w:val="28"/>
              <w:szCs w:val="28"/>
            </w:rPr>
            <w:t>4.2 前期统筹策划</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_Toc1705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4</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"_Toc2874" </w:instrText>
          </w:r>
          <w:r>
            <w:fldChar w:fldCharType="separate"/>
          </w:r>
          <w:r>
            <w:rPr>
              <w:rFonts w:hint="eastAsia" w:asciiTheme="minorEastAsia" w:hAnsiTheme="minorEastAsia" w:cstheme="minorEastAsia"/>
              <w:sz w:val="28"/>
              <w:szCs w:val="28"/>
            </w:rPr>
            <w:t>4.3 绿色设计策划</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_Toc2874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5</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"_Toc7157" </w:instrText>
          </w:r>
          <w:r>
            <w:fldChar w:fldCharType="separate"/>
          </w:r>
          <w:r>
            <w:rPr>
              <w:rFonts w:hint="eastAsia" w:asciiTheme="minorEastAsia" w:hAnsiTheme="minorEastAsia" w:cstheme="minorEastAsia"/>
              <w:sz w:val="28"/>
              <w:szCs w:val="28"/>
            </w:rPr>
            <w:t>4.4 绿色施工策划</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_Toc7157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6</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"_Toc1968" </w:instrText>
          </w:r>
          <w:r>
            <w:fldChar w:fldCharType="separate"/>
          </w:r>
          <w:r>
            <w:rPr>
              <w:rFonts w:hint="eastAsia" w:asciiTheme="minorEastAsia" w:hAnsiTheme="minorEastAsia" w:cstheme="minorEastAsia"/>
              <w:sz w:val="28"/>
              <w:szCs w:val="28"/>
            </w:rPr>
            <w:t>4.5 绿色交付策划</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_Toc1968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7</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7"/>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"_Toc16175" </w:instrText>
          </w:r>
          <w:r>
            <w:fldChar w:fldCharType="separate"/>
          </w:r>
          <w:r>
            <w:rPr>
              <w:rFonts w:hint="eastAsia" w:asciiTheme="minorEastAsia" w:hAnsiTheme="minorEastAsia" w:cstheme="minorEastAsia"/>
              <w:sz w:val="28"/>
              <w:szCs w:val="28"/>
            </w:rPr>
            <w:t>5 绿色设计</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_Toc16175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8</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"_Toc27471" </w:instrText>
          </w:r>
          <w:r>
            <w:fldChar w:fldCharType="separate"/>
          </w:r>
          <w:r>
            <w:rPr>
              <w:rFonts w:hint="eastAsia" w:asciiTheme="minorEastAsia" w:hAnsiTheme="minorEastAsia" w:cstheme="minorEastAsia"/>
              <w:sz w:val="28"/>
              <w:szCs w:val="28"/>
            </w:rPr>
            <w:t>5.1 一般规定</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_Toc27471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8</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"_Toc26376" </w:instrText>
          </w:r>
          <w:r>
            <w:fldChar w:fldCharType="separate"/>
          </w:r>
          <w:r>
            <w:rPr>
              <w:rFonts w:hint="eastAsia" w:asciiTheme="minorEastAsia" w:hAnsiTheme="minorEastAsia" w:cstheme="minorEastAsia"/>
              <w:sz w:val="28"/>
              <w:szCs w:val="28"/>
            </w:rPr>
            <w:t>5.2 协同设计</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_Toc26376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8</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"_Toc19395" </w:instrText>
          </w:r>
          <w:r>
            <w:fldChar w:fldCharType="separate"/>
          </w:r>
          <w:r>
            <w:rPr>
              <w:rFonts w:hint="eastAsia" w:asciiTheme="minorEastAsia" w:hAnsiTheme="minorEastAsia" w:cstheme="minorEastAsia"/>
              <w:sz w:val="28"/>
              <w:szCs w:val="28"/>
            </w:rPr>
            <w:t>5.3 数字设计与工业化</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_Toc19395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9</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"_Toc19788" </w:instrText>
          </w:r>
          <w:r>
            <w:fldChar w:fldCharType="separate"/>
          </w:r>
          <w:r>
            <w:rPr>
              <w:rFonts w:hint="eastAsia" w:asciiTheme="minorEastAsia" w:hAnsiTheme="minorEastAsia" w:cstheme="minorEastAsia"/>
              <w:sz w:val="28"/>
              <w:szCs w:val="28"/>
            </w:rPr>
            <w:t>5.4 材料选择</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_Toc19788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10</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"_Toc21299" </w:instrText>
          </w:r>
          <w:r>
            <w:fldChar w:fldCharType="separate"/>
          </w:r>
          <w:r>
            <w:rPr>
              <w:rFonts w:hint="eastAsia" w:asciiTheme="minorEastAsia" w:hAnsiTheme="minorEastAsia" w:cstheme="minorEastAsia"/>
              <w:sz w:val="28"/>
              <w:szCs w:val="28"/>
            </w:rPr>
            <w:t>5.5 节能降碳</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_Toc21299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10</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"_Toc5357" </w:instrText>
          </w:r>
          <w:r>
            <w:fldChar w:fldCharType="separate"/>
          </w:r>
          <w:r>
            <w:rPr>
              <w:rFonts w:hint="eastAsia" w:asciiTheme="minorEastAsia" w:hAnsiTheme="minorEastAsia" w:cstheme="minorEastAsia"/>
              <w:sz w:val="28"/>
              <w:szCs w:val="28"/>
            </w:rPr>
            <w:t>5.6 健康宜居</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_Toc5357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11</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7"/>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"_Toc15517" </w:instrText>
          </w:r>
          <w:r>
            <w:fldChar w:fldCharType="separate"/>
          </w:r>
          <w:r>
            <w:rPr>
              <w:rFonts w:hint="eastAsia" w:asciiTheme="minorEastAsia" w:hAnsiTheme="minorEastAsia" w:cstheme="minorEastAsia"/>
              <w:bCs/>
              <w:spacing w:val="-8"/>
              <w:sz w:val="28"/>
              <w:szCs w:val="28"/>
            </w:rPr>
            <w:t>6</w:t>
          </w:r>
          <w:r>
            <w:rPr>
              <w:rFonts w:hint="eastAsia" w:asciiTheme="minorEastAsia" w:hAnsiTheme="minorEastAsia" w:cstheme="minorEastAsia"/>
              <w:spacing w:val="17"/>
              <w:sz w:val="28"/>
              <w:szCs w:val="28"/>
            </w:rPr>
            <w:t xml:space="preserve"> </w:t>
          </w:r>
          <w:r>
            <w:rPr>
              <w:rFonts w:hint="eastAsia" w:asciiTheme="minorEastAsia" w:hAnsiTheme="minorEastAsia" w:cstheme="minorEastAsia"/>
              <w:bCs/>
              <w:spacing w:val="-8"/>
              <w:sz w:val="28"/>
              <w:szCs w:val="28"/>
            </w:rPr>
            <w:t>绿色施工</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_Toc15517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13</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"_Toc2398" </w:instrText>
          </w:r>
          <w:r>
            <w:fldChar w:fldCharType="separate"/>
          </w:r>
          <w:r>
            <w:rPr>
              <w:rFonts w:hint="eastAsia" w:asciiTheme="minorEastAsia" w:hAnsiTheme="minorEastAsia" w:cstheme="minorEastAsia"/>
              <w:sz w:val="28"/>
              <w:szCs w:val="28"/>
            </w:rPr>
            <w:t>6.1 一般规定</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_Toc2398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13</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"_Toc30811" </w:instrText>
          </w:r>
          <w:r>
            <w:fldChar w:fldCharType="separate"/>
          </w:r>
          <w:r>
            <w:rPr>
              <w:rFonts w:hint="eastAsia" w:asciiTheme="minorEastAsia" w:hAnsiTheme="minorEastAsia" w:cstheme="minorEastAsia"/>
              <w:sz w:val="28"/>
              <w:szCs w:val="28"/>
            </w:rPr>
            <w:t>6.2 协同与优化</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_Toc30811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14</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"_Toc2455" </w:instrText>
          </w:r>
          <w:r>
            <w:fldChar w:fldCharType="separate"/>
          </w:r>
          <w:r>
            <w:rPr>
              <w:rFonts w:hint="eastAsia" w:asciiTheme="minorEastAsia" w:hAnsiTheme="minorEastAsia" w:cstheme="minorEastAsia"/>
              <w:sz w:val="28"/>
              <w:szCs w:val="28"/>
            </w:rPr>
            <w:t>6.3 环境保护</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_Toc2455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15</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"_Toc24953" </w:instrText>
          </w:r>
          <w:r>
            <w:fldChar w:fldCharType="separate"/>
          </w:r>
          <w:r>
            <w:rPr>
              <w:rFonts w:hint="eastAsia" w:asciiTheme="minorEastAsia" w:hAnsiTheme="minorEastAsia" w:cstheme="minorEastAsia"/>
              <w:sz w:val="28"/>
              <w:szCs w:val="28"/>
            </w:rPr>
            <w:t>6.4 资源节约</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_Toc24953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16</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"_Toc1155" </w:instrText>
          </w:r>
          <w:r>
            <w:fldChar w:fldCharType="separate"/>
          </w:r>
          <w:r>
            <w:rPr>
              <w:rFonts w:hint="eastAsia" w:asciiTheme="minorEastAsia" w:hAnsiTheme="minorEastAsia" w:cstheme="minorEastAsia"/>
              <w:sz w:val="28"/>
              <w:szCs w:val="28"/>
            </w:rPr>
            <w:t>6.5 信息技术应用</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_Toc1155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18</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7"/>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"_Toc29439" </w:instrText>
          </w:r>
          <w:r>
            <w:fldChar w:fldCharType="separate"/>
          </w:r>
          <w:r>
            <w:rPr>
              <w:rFonts w:hint="eastAsia" w:asciiTheme="minorEastAsia" w:hAnsiTheme="minorEastAsia" w:cstheme="minorEastAsia"/>
              <w:bCs/>
              <w:spacing w:val="-8"/>
              <w:sz w:val="28"/>
              <w:szCs w:val="28"/>
            </w:rPr>
            <w:t>7 绿色交付</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_Toc29439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20</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"_Toc22958" </w:instrText>
          </w:r>
          <w:r>
            <w:fldChar w:fldCharType="separate"/>
          </w:r>
          <w:r>
            <w:rPr>
              <w:rFonts w:hint="eastAsia" w:asciiTheme="minorEastAsia" w:hAnsiTheme="minorEastAsia" w:cstheme="minorEastAsia"/>
              <w:sz w:val="28"/>
              <w:szCs w:val="28"/>
              <w:lang w:bidi="ar"/>
            </w:rPr>
            <w:t>7.1 一般规定</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_Toc22958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20</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"_Toc9319" </w:instrText>
          </w:r>
          <w:r>
            <w:fldChar w:fldCharType="separate"/>
          </w:r>
          <w:r>
            <w:rPr>
              <w:rFonts w:hint="eastAsia" w:asciiTheme="minorEastAsia" w:hAnsiTheme="minorEastAsia" w:cstheme="minorEastAsia"/>
              <w:sz w:val="28"/>
              <w:szCs w:val="28"/>
              <w:lang w:bidi="ar"/>
            </w:rPr>
            <w:t>7.2 交付准备</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_Toc9319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20</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"_Toc18525" </w:instrText>
          </w:r>
          <w:r>
            <w:fldChar w:fldCharType="separate"/>
          </w:r>
          <w:r>
            <w:rPr>
              <w:rFonts w:hint="eastAsia" w:asciiTheme="minorEastAsia" w:hAnsiTheme="minorEastAsia" w:cstheme="minorEastAsia"/>
              <w:sz w:val="28"/>
              <w:szCs w:val="28"/>
              <w:lang w:bidi="ar"/>
            </w:rPr>
            <w:t>7.3 交付内容</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_Toc18525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21</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pStyle w:val="8"/>
            <w:tabs>
              <w:tab w:val="right" w:leader="dot" w:pos="8306"/>
            </w:tabs>
            <w:adjustRightInd w:val="0"/>
            <w:snapToGrid w:val="0"/>
            <w:spacing w:line="360" w:lineRule="auto"/>
            <w:rPr>
              <w:rFonts w:hint="eastAsia" w:asciiTheme="minorEastAsia" w:hAnsiTheme="minorEastAsia" w:cstheme="minorEastAsia"/>
              <w:sz w:val="28"/>
              <w:szCs w:val="28"/>
            </w:rPr>
          </w:pPr>
          <w:r>
            <w:fldChar w:fldCharType="begin"/>
          </w:r>
          <w:r>
            <w:instrText xml:space="preserve"> HYPERLINK \l "_Toc3788" </w:instrText>
          </w:r>
          <w:r>
            <w:fldChar w:fldCharType="separate"/>
          </w:r>
          <w:r>
            <w:rPr>
              <w:rFonts w:hint="eastAsia" w:asciiTheme="minorEastAsia" w:hAnsiTheme="minorEastAsia" w:cstheme="minorEastAsia"/>
              <w:sz w:val="28"/>
              <w:szCs w:val="28"/>
              <w:lang w:bidi="ar"/>
            </w:rPr>
            <w:t>7.4 效果评估</w:t>
          </w:r>
          <w:r>
            <w:rPr>
              <w:rFonts w:hint="eastAsia" w:asciiTheme="minorEastAsia" w:hAnsiTheme="minorEastAsia" w:cstheme="minorEastAsia"/>
              <w:sz w:val="28"/>
              <w:szCs w:val="28"/>
            </w:rPr>
            <w:tab/>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PAGEREF _Toc3788 \h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22</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fldChar w:fldCharType="end"/>
          </w:r>
        </w:p>
        <w:p>
          <w:pPr>
            <w:adjustRightInd w:val="0"/>
            <w:snapToGrid w:val="0"/>
            <w:spacing w:line="360" w:lineRule="auto"/>
            <w:ind w:firstLine="560" w:firstLineChars="200"/>
            <w:rPr>
              <w:rFonts w:hint="eastAsia" w:ascii="宋体" w:hAnsi="宋体" w:eastAsia="宋体" w:cs="宋体"/>
              <w:b/>
              <w:sz w:val="28"/>
              <w:szCs w:val="28"/>
            </w:rPr>
          </w:pPr>
          <w:r>
            <w:rPr>
              <w:rFonts w:hint="eastAsia" w:asciiTheme="minorEastAsia" w:hAnsiTheme="minorEastAsia" w:cstheme="minorEastAsia"/>
              <w:sz w:val="28"/>
              <w:szCs w:val="28"/>
            </w:rPr>
            <w:fldChar w:fldCharType="end"/>
          </w:r>
        </w:p>
      </w:sdtContent>
    </w:sdt>
    <w:p>
      <w:pPr>
        <w:adjustRightInd w:val="0"/>
        <w:snapToGrid w:val="0"/>
        <w:spacing w:line="360" w:lineRule="auto"/>
        <w:ind w:firstLine="441" w:firstLineChars="200"/>
        <w:rPr>
          <w:rFonts w:hint="eastAsia" w:asciiTheme="minorEastAsia" w:hAnsiTheme="minorEastAsia"/>
          <w:b/>
          <w:sz w:val="22"/>
          <w:szCs w:val="28"/>
        </w:rPr>
      </w:pPr>
    </w:p>
    <w:p>
      <w:pPr>
        <w:pStyle w:val="2"/>
        <w:adjustRightInd w:val="0"/>
        <w:snapToGrid w:val="0"/>
        <w:spacing w:before="0" w:after="0" w:line="360" w:lineRule="auto"/>
        <w:jc w:val="center"/>
        <w:rPr>
          <w:rFonts w:hint="eastAsia" w:ascii="宋体" w:hAnsi="宋体" w:eastAsia="宋体" w:cs="宋体"/>
          <w:sz w:val="28"/>
          <w:szCs w:val="18"/>
        </w:rPr>
        <w:sectPr>
          <w:pgSz w:w="11906" w:h="16838"/>
          <w:pgMar w:top="1440" w:right="1800" w:bottom="1440" w:left="1800" w:header="851" w:footer="992" w:gutter="0"/>
          <w:cols w:space="425" w:num="1"/>
          <w:docGrid w:type="lines" w:linePitch="312" w:charSpace="0"/>
        </w:sectPr>
      </w:pPr>
    </w:p>
    <w:p>
      <w:pPr>
        <w:pStyle w:val="2"/>
        <w:adjustRightInd w:val="0"/>
        <w:snapToGrid w:val="0"/>
        <w:spacing w:before="0" w:after="0" w:line="360" w:lineRule="auto"/>
        <w:jc w:val="center"/>
        <w:rPr>
          <w:rFonts w:hint="eastAsia" w:ascii="宋体" w:hAnsi="宋体" w:eastAsia="宋体" w:cs="宋体"/>
          <w:sz w:val="28"/>
          <w:szCs w:val="18"/>
        </w:rPr>
      </w:pPr>
      <w:bookmarkStart w:id="0" w:name="_Toc18652"/>
      <w:r>
        <w:rPr>
          <w:rFonts w:hint="eastAsia" w:ascii="宋体" w:hAnsi="宋体" w:eastAsia="宋体" w:cs="宋体"/>
          <w:sz w:val="28"/>
          <w:szCs w:val="18"/>
        </w:rPr>
        <w:t>1 总则</w:t>
      </w:r>
      <w:bookmarkEnd w:id="0"/>
    </w:p>
    <w:p>
      <w:pPr>
        <w:adjustRightInd w:val="0"/>
        <w:snapToGrid w:val="0"/>
        <w:spacing w:line="360" w:lineRule="auto"/>
        <w:ind w:firstLine="560" w:firstLineChars="200"/>
        <w:rPr>
          <w:rFonts w:hint="eastAsia" w:ascii="宋体" w:hAnsi="宋体" w:eastAsia="宋体" w:cs="宋体"/>
          <w:sz w:val="28"/>
          <w:szCs w:val="28"/>
        </w:rPr>
      </w:pP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1.0.1 </w:t>
      </w:r>
      <w:r>
        <w:rPr>
          <w:rFonts w:hint="eastAsia" w:ascii="宋体" w:hAnsi="宋体" w:eastAsia="宋体" w:cs="Times New Roman"/>
          <w:sz w:val="28"/>
          <w:szCs w:val="28"/>
        </w:rPr>
        <w:t>为贯彻落实绿色发展理念，规范</w:t>
      </w:r>
      <w:r>
        <w:rPr>
          <w:rFonts w:hint="eastAsia" w:ascii="宋体" w:hAnsi="宋体" w:cs="Times New Roman"/>
          <w:sz w:val="28"/>
          <w:szCs w:val="28"/>
        </w:rPr>
        <w:t>建筑工程</w:t>
      </w:r>
      <w:r>
        <w:rPr>
          <w:rFonts w:hint="eastAsia" w:ascii="宋体" w:hAnsi="宋体" w:eastAsia="宋体" w:cs="Times New Roman"/>
          <w:sz w:val="28"/>
          <w:szCs w:val="28"/>
        </w:rPr>
        <w:t>绿色建造技术应用</w:t>
      </w:r>
      <w:r>
        <w:rPr>
          <w:rFonts w:hint="eastAsia" w:ascii="宋体" w:hAnsi="宋体" w:eastAsia="宋体" w:cs="宋体"/>
          <w:sz w:val="28"/>
          <w:szCs w:val="28"/>
        </w:rPr>
        <w:t>，推动建筑业高质量发展，制定本导则。</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1.0.2 本导则适用于江苏省民用建筑工程，其他性质的建筑工程可参照本导则执行。</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1.0.3 民用建筑工程绿色建造技术除应符合本导则外，尚应符合国家和江苏省现行有关标准的规定。</w:t>
      </w:r>
    </w:p>
    <w:p>
      <w:pPr>
        <w:pStyle w:val="2"/>
        <w:adjustRightInd w:val="0"/>
        <w:snapToGrid w:val="0"/>
        <w:spacing w:before="0" w:after="0" w:line="360" w:lineRule="auto"/>
        <w:rPr>
          <w:rFonts w:hint="eastAsia" w:ascii="宋体" w:hAnsi="宋体" w:eastAsia="宋体" w:cs="宋体"/>
          <w:sz w:val="28"/>
          <w:szCs w:val="18"/>
        </w:rPr>
        <w:sectPr>
          <w:footerReference r:id="rId3" w:type="default"/>
          <w:pgSz w:w="11906" w:h="16838"/>
          <w:pgMar w:top="1440" w:right="1800" w:bottom="1440" w:left="1800" w:header="851" w:footer="992" w:gutter="0"/>
          <w:pgNumType w:start="1"/>
          <w:cols w:space="425" w:num="1"/>
          <w:docGrid w:type="lines" w:linePitch="312" w:charSpace="0"/>
        </w:sectPr>
      </w:pPr>
    </w:p>
    <w:p>
      <w:pPr>
        <w:pStyle w:val="2"/>
        <w:adjustRightInd w:val="0"/>
        <w:snapToGrid w:val="0"/>
        <w:spacing w:before="0" w:after="0" w:line="360" w:lineRule="auto"/>
        <w:jc w:val="center"/>
        <w:rPr>
          <w:rFonts w:hint="eastAsia" w:ascii="宋体" w:hAnsi="宋体" w:eastAsia="宋体" w:cs="宋体"/>
          <w:sz w:val="28"/>
          <w:szCs w:val="18"/>
        </w:rPr>
      </w:pPr>
      <w:bookmarkStart w:id="1" w:name="_Toc3480"/>
      <w:r>
        <w:rPr>
          <w:rFonts w:hint="eastAsia" w:ascii="宋体" w:hAnsi="宋体" w:eastAsia="宋体" w:cs="宋体"/>
          <w:sz w:val="28"/>
          <w:szCs w:val="18"/>
        </w:rPr>
        <w:t>2 术语</w:t>
      </w:r>
      <w:bookmarkEnd w:id="1"/>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 xml:space="preserve"> </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2.0.1 绿色建造green construction</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按照绿色发展要求，着眼于建筑全寿命期，通过科学管理和技术创新，采用有利于节约资源、保护环境、减少排放、提高效率、保障品质的建造方式，实现人与自然和谐共生的工程建造活动。</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2.0.2 绿色策划green planning</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在工程项目定位、选址、投资和技术经济指标确定的过程中，因地制宜对建造全过程、全要素进行统筹，最大限度地节约资源和保护环境，科学确定绿色建造目标及实施路径的工程策划活动。</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2.0.3 绿色设计green design</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贯彻绿色建造理念，着眼于建筑全寿命期，最大限度地节约资源和保护环境，所进行的建筑使用功能、空间安排和专业技术协同，落实绿色策划目标的工程设计活动。</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2.0.4 绿色施工green construction operation</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在保证质量、安全等基本要求的前提下，以人为本，因地制宜，通过科学管理和技术进步，最大限度地节约资源，减少对环境负面影响的施工活动。</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2.0.5 综合效能调适comprehensive efficiency adjustment</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通过对建筑设备系统的调试验证、性能测试验证、季节性工况验证和综合效果验收，使系统满足不同负荷工况和用户使用的需求。</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2.0.6 绿色交付green delivery</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在综合效能调适、绿色建造效果评估的基础上，制定交付策略、交付标准、交付方案，采用实体与数字化同步交付的方式，进行工程移交和验收的活动。</w:t>
      </w:r>
    </w:p>
    <w:p>
      <w:pPr>
        <w:adjustRightInd w:val="0"/>
        <w:snapToGrid w:val="0"/>
        <w:spacing w:line="360" w:lineRule="auto"/>
        <w:ind w:firstLine="560" w:firstLineChars="200"/>
        <w:rPr>
          <w:rFonts w:hint="eastAsia" w:ascii="宋体" w:hAnsi="宋体" w:eastAsia="宋体" w:cs="宋体"/>
          <w:sz w:val="28"/>
          <w:szCs w:val="28"/>
        </w:rPr>
        <w:sectPr>
          <w:pgSz w:w="11906" w:h="16838"/>
          <w:pgMar w:top="1440" w:right="1800" w:bottom="1440" w:left="1800" w:header="851" w:footer="992" w:gutter="0"/>
          <w:cols w:space="425" w:num="1"/>
          <w:docGrid w:type="lines" w:linePitch="312" w:charSpace="0"/>
        </w:sectPr>
      </w:pPr>
    </w:p>
    <w:p>
      <w:pPr>
        <w:pStyle w:val="2"/>
        <w:adjustRightInd w:val="0"/>
        <w:snapToGrid w:val="0"/>
        <w:spacing w:before="0" w:after="0" w:line="360" w:lineRule="auto"/>
        <w:jc w:val="center"/>
        <w:rPr>
          <w:rFonts w:hint="eastAsia" w:ascii="宋体" w:hAnsi="宋体" w:eastAsia="宋体" w:cs="宋体"/>
          <w:sz w:val="28"/>
          <w:szCs w:val="18"/>
        </w:rPr>
      </w:pPr>
      <w:bookmarkStart w:id="2" w:name="_Toc13263"/>
      <w:r>
        <w:rPr>
          <w:rFonts w:hint="eastAsia" w:ascii="宋体" w:hAnsi="宋体" w:eastAsia="宋体" w:cs="宋体"/>
          <w:sz w:val="28"/>
          <w:szCs w:val="18"/>
        </w:rPr>
        <w:t>3 基本规定</w:t>
      </w:r>
      <w:bookmarkEnd w:id="2"/>
    </w:p>
    <w:p>
      <w:pPr>
        <w:adjustRightInd w:val="0"/>
        <w:snapToGrid w:val="0"/>
        <w:spacing w:line="360" w:lineRule="auto"/>
        <w:ind w:firstLine="560" w:firstLineChars="200"/>
        <w:rPr>
          <w:rFonts w:hint="eastAsia" w:asciiTheme="minorEastAsia" w:hAnsiTheme="minorEastAsia" w:cstheme="minorEastAsia"/>
          <w:sz w:val="28"/>
          <w:szCs w:val="28"/>
        </w:rPr>
      </w:pPr>
    </w:p>
    <w:p>
      <w:pPr>
        <w:adjustRightInd w:val="0"/>
        <w:snapToGrid w:val="0"/>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sz w:val="28"/>
          <w:szCs w:val="28"/>
        </w:rPr>
        <w:t>3.0.1 绿色建造应遵循以人为本、因地制宜、节约资源、保护环境的原则，立足工程实施全过程，推进策划、设计、施工、交付等的一体化，实现适用、经济、绿色、美观的建设目标。</w:t>
      </w:r>
    </w:p>
    <w:p>
      <w:pPr>
        <w:adjustRightInd w:val="0"/>
        <w:snapToGrid w:val="0"/>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sz w:val="28"/>
          <w:szCs w:val="28"/>
        </w:rPr>
        <w:t>3.0.2 绿色建造应采用集约化组织管理模式，促进策划、设计、施工、交付等深度协同，整体提升建造管理集约化水平。</w:t>
      </w:r>
    </w:p>
    <w:p>
      <w:pPr>
        <w:adjustRightInd w:val="0"/>
        <w:snapToGrid w:val="0"/>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sz w:val="28"/>
          <w:szCs w:val="28"/>
        </w:rPr>
        <w:t>3.0.3 绿色建造应优先采用绿色建材，推进建筑垃圾减量化和资源化利用，采取措施降低能源消耗和提升碳汇能力，减少碳排放，整体提升建造活动绿色化水平。</w:t>
      </w:r>
    </w:p>
    <w:p>
      <w:pPr>
        <w:adjustRightInd w:val="0"/>
        <w:snapToGrid w:val="0"/>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sz w:val="28"/>
          <w:szCs w:val="28"/>
        </w:rPr>
        <w:t>3.0.4 绿色建造应结合项目实际，积极采用BIM、物联网、人工智能等相关技术，整体提升建造手段信息化水平。</w:t>
      </w:r>
    </w:p>
    <w:p>
      <w:pPr>
        <w:adjustRightInd w:val="0"/>
        <w:snapToGrid w:val="0"/>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sz w:val="28"/>
          <w:szCs w:val="28"/>
        </w:rPr>
        <w:t>3.0.5 绿色建造应采用协同设计和标准化施工的方式，加强新技术推广应用，整体提升建造方式工业化水平。</w:t>
      </w:r>
    </w:p>
    <w:p>
      <w:pPr>
        <w:adjustRightInd w:val="0"/>
        <w:snapToGrid w:val="0"/>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sz w:val="28"/>
          <w:szCs w:val="28"/>
        </w:rPr>
        <w:t>3.0.6 绿色建造应加强建设、设计、施工等产业链上下游企业间的沟通协作，优化资源配置，整体提升建造过程产业化水平。</w:t>
      </w:r>
    </w:p>
    <w:p>
      <w:pPr>
        <w:adjustRightInd w:val="0"/>
        <w:snapToGrid w:val="0"/>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sz w:val="28"/>
          <w:szCs w:val="28"/>
        </w:rPr>
        <w:t>3.0.7 绿色建造应加强现场绿色施工工艺、技术与装备应用，减少施工过程对环境的不良影响。</w:t>
      </w:r>
    </w:p>
    <w:p>
      <w:pPr>
        <w:adjustRightInd w:val="0"/>
        <w:snapToGrid w:val="0"/>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sz w:val="28"/>
          <w:szCs w:val="28"/>
        </w:rPr>
        <w:t>3.0.8 绿色建造应强化对绿色建造目标的动态过程管控与成果量化评估，以实现对绿色建造过程的系统性管理与成效验证。</w:t>
      </w:r>
    </w:p>
    <w:p>
      <w:pPr>
        <w:adjustRightInd w:val="0"/>
        <w:snapToGrid w:val="0"/>
        <w:spacing w:line="360" w:lineRule="auto"/>
        <w:ind w:firstLine="560" w:firstLineChars="200"/>
        <w:rPr>
          <w:rFonts w:hint="eastAsia" w:ascii="宋体" w:hAnsi="宋体" w:eastAsia="宋体" w:cs="宋体"/>
          <w:sz w:val="28"/>
          <w:szCs w:val="28"/>
        </w:rPr>
      </w:pPr>
      <w:r>
        <w:rPr>
          <w:rFonts w:hint="eastAsia" w:asciiTheme="minorEastAsia" w:hAnsiTheme="minorEastAsia" w:cstheme="minorEastAsia"/>
          <w:sz w:val="28"/>
          <w:szCs w:val="28"/>
        </w:rPr>
        <w:t>3.0.9 绿色建造应构建全过程质量与绩效保障机制，建立贯穿实施全过程的绿色建造责任制度与成果验收制度，推进各阶段实施内容的记录、追踪与评价。</w:t>
      </w:r>
    </w:p>
    <w:p>
      <w:pPr>
        <w:pStyle w:val="2"/>
        <w:adjustRightInd w:val="0"/>
        <w:snapToGrid w:val="0"/>
        <w:spacing w:before="0" w:after="0" w:line="360" w:lineRule="auto"/>
        <w:rPr>
          <w:rFonts w:hint="eastAsia" w:ascii="宋体" w:hAnsi="宋体" w:eastAsia="宋体" w:cs="宋体"/>
          <w:b w:val="0"/>
          <w:kern w:val="2"/>
          <w:sz w:val="28"/>
          <w:szCs w:val="28"/>
        </w:rPr>
        <w:sectPr>
          <w:footerReference r:id="rId4" w:type="default"/>
          <w:pgSz w:w="11906" w:h="16838"/>
          <w:pgMar w:top="1440" w:right="1800" w:bottom="1440" w:left="1800" w:header="851" w:footer="992" w:gutter="0"/>
          <w:cols w:space="425" w:num="1"/>
          <w:docGrid w:type="lines" w:linePitch="312" w:charSpace="0"/>
        </w:sectPr>
      </w:pPr>
    </w:p>
    <w:p>
      <w:pPr>
        <w:pStyle w:val="2"/>
        <w:adjustRightInd w:val="0"/>
        <w:snapToGrid w:val="0"/>
        <w:spacing w:before="0" w:after="0" w:line="360" w:lineRule="auto"/>
        <w:jc w:val="center"/>
        <w:rPr>
          <w:rFonts w:hint="eastAsia" w:ascii="宋体" w:hAnsi="宋体" w:eastAsia="宋体" w:cs="宋体"/>
          <w:sz w:val="28"/>
          <w:szCs w:val="18"/>
        </w:rPr>
      </w:pPr>
      <w:bookmarkStart w:id="3" w:name="_Toc13783"/>
      <w:r>
        <w:rPr>
          <w:rFonts w:hint="eastAsia" w:ascii="宋体" w:hAnsi="宋体" w:eastAsia="宋体" w:cs="宋体"/>
          <w:sz w:val="28"/>
          <w:szCs w:val="18"/>
        </w:rPr>
        <w:t>4 绿色策划</w:t>
      </w:r>
      <w:bookmarkEnd w:id="3"/>
    </w:p>
    <w:p>
      <w:pPr>
        <w:adjustRightInd w:val="0"/>
        <w:snapToGrid w:val="0"/>
        <w:spacing w:line="360" w:lineRule="auto"/>
      </w:pPr>
    </w:p>
    <w:p>
      <w:pPr>
        <w:pStyle w:val="3"/>
        <w:adjustRightInd w:val="0"/>
        <w:snapToGrid w:val="0"/>
        <w:spacing w:before="0" w:after="0" w:line="360" w:lineRule="auto"/>
        <w:jc w:val="center"/>
        <w:rPr>
          <w:rFonts w:hint="eastAsia" w:ascii="宋体" w:hAnsi="宋体" w:eastAsia="宋体" w:cs="宋体"/>
          <w:sz w:val="28"/>
          <w:szCs w:val="22"/>
        </w:rPr>
      </w:pPr>
      <w:bookmarkStart w:id="4" w:name="_Toc7144"/>
      <w:r>
        <w:rPr>
          <w:rFonts w:hint="eastAsia" w:ascii="宋体" w:hAnsi="宋体" w:eastAsia="宋体" w:cs="宋体"/>
          <w:sz w:val="28"/>
          <w:szCs w:val="22"/>
        </w:rPr>
        <w:t>4.1 一般规定</w:t>
      </w:r>
      <w:bookmarkEnd w:id="4"/>
    </w:p>
    <w:p>
      <w:pPr>
        <w:adjustRightInd w:val="0"/>
        <w:snapToGrid w:val="0"/>
        <w:spacing w:line="360" w:lineRule="auto"/>
        <w:ind w:firstLine="560" w:firstLineChars="200"/>
        <w:rPr>
          <w:rFonts w:hint="eastAsia" w:ascii="宋体" w:hAnsi="宋体" w:eastAsia="宋体" w:cs="宋体"/>
          <w:b/>
          <w:bCs/>
          <w:sz w:val="28"/>
          <w:szCs w:val="28"/>
        </w:rPr>
      </w:pPr>
      <w:r>
        <w:rPr>
          <w:rFonts w:hint="eastAsia" w:ascii="宋体" w:hAnsi="宋体" w:eastAsia="宋体" w:cs="宋体"/>
          <w:sz w:val="28"/>
          <w:szCs w:val="28"/>
        </w:rPr>
        <w:t>4.1.1 项目应建立绿色建造专项组织架构，明确各方职责，构建全过程、全专业、全参建方协同管理机制，确保绿色策划目标有效执行，建设单位应对绿色建造实施全过程负总责。</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4.1.2 建设单位应组织编制绿色建造策划方案，覆盖策划、设计、施工、交付等建造全过程，明确绿色建造目标、技术路径、管理机制、责任分工及绩效考核措施等，确保方案具备可实施性、可考核性。</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4.1.3 应在绿色建造全过程中推进数字化与智能化技术应用，明确关键环节的技术措施、应用场景与接口标准。</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4.1.4 应制定绿色建材应用策略，明确关键部位（如主体结构、围护系统等）绿色建材的使用要求。</w:t>
      </w:r>
    </w:p>
    <w:p>
      <w:pPr>
        <w:adjustRightInd w:val="0"/>
        <w:snapToGrid w:val="0"/>
        <w:spacing w:line="360" w:lineRule="auto"/>
        <w:ind w:firstLine="560" w:firstLineChars="200"/>
        <w:rPr>
          <w:rFonts w:hint="eastAsia" w:ascii="宋体" w:hAnsi="宋体"/>
          <w:sz w:val="28"/>
          <w:szCs w:val="28"/>
        </w:rPr>
      </w:pPr>
      <w:r>
        <w:rPr>
          <w:rFonts w:hint="eastAsia" w:ascii="宋体" w:hAnsi="宋体"/>
          <w:sz w:val="28"/>
          <w:szCs w:val="28"/>
        </w:rPr>
        <w:t>4.1.5 应制定设计与施工变更管理制度，确保各类变更科学、合理。</w:t>
      </w:r>
    </w:p>
    <w:p>
      <w:pPr>
        <w:adjustRightInd w:val="0"/>
        <w:snapToGrid w:val="0"/>
        <w:spacing w:line="360" w:lineRule="auto"/>
        <w:ind w:firstLine="560" w:firstLineChars="200"/>
        <w:rPr>
          <w:rFonts w:hint="eastAsia" w:ascii="宋体" w:hAnsi="宋体"/>
          <w:sz w:val="28"/>
          <w:szCs w:val="28"/>
        </w:rPr>
      </w:pPr>
      <w:r>
        <w:rPr>
          <w:rFonts w:hint="eastAsia" w:ascii="宋体" w:hAnsi="宋体"/>
          <w:sz w:val="28"/>
          <w:szCs w:val="28"/>
        </w:rPr>
        <w:t>4.1.6 绿色策划应结合项目的特点与潜在风险，进行全面风险评估，特别是技术风险、资金风险、绿色建材供应链风险等，制定相应应急预案和应对措施。</w:t>
      </w:r>
    </w:p>
    <w:p>
      <w:pPr>
        <w:adjustRightInd w:val="0"/>
        <w:snapToGrid w:val="0"/>
        <w:spacing w:line="360" w:lineRule="auto"/>
        <w:ind w:firstLine="560" w:firstLineChars="200"/>
        <w:rPr>
          <w:rFonts w:hint="eastAsia" w:ascii="宋体" w:hAnsi="宋体"/>
          <w:sz w:val="28"/>
          <w:szCs w:val="28"/>
        </w:rPr>
      </w:pPr>
      <w:r>
        <w:rPr>
          <w:rFonts w:hint="eastAsia" w:ascii="宋体" w:hAnsi="宋体"/>
          <w:sz w:val="28"/>
          <w:szCs w:val="28"/>
        </w:rPr>
        <w:t>4.1.7 绿色策划应确保符合国家和地方的绿色建造法律法规，特别是在碳排放、资源节约、节能减排等方面，定期进行合规性检查。</w:t>
      </w:r>
    </w:p>
    <w:p>
      <w:pPr>
        <w:adjustRightInd w:val="0"/>
        <w:snapToGrid w:val="0"/>
        <w:spacing w:line="360" w:lineRule="auto"/>
        <w:ind w:firstLine="560" w:firstLineChars="200"/>
        <w:rPr>
          <w:rFonts w:hint="eastAsia" w:ascii="宋体" w:hAnsi="宋体" w:eastAsia="宋体" w:cs="宋体"/>
          <w:sz w:val="28"/>
          <w:szCs w:val="28"/>
        </w:rPr>
      </w:pPr>
    </w:p>
    <w:p>
      <w:pPr>
        <w:pStyle w:val="3"/>
        <w:adjustRightInd w:val="0"/>
        <w:snapToGrid w:val="0"/>
        <w:spacing w:before="0" w:after="0" w:line="360" w:lineRule="auto"/>
        <w:jc w:val="center"/>
        <w:rPr>
          <w:rFonts w:hint="eastAsia" w:ascii="宋体" w:hAnsi="宋体" w:eastAsia="宋体" w:cs="宋体"/>
          <w:sz w:val="28"/>
          <w:szCs w:val="28"/>
        </w:rPr>
      </w:pPr>
      <w:bookmarkStart w:id="5" w:name="_Toc1705"/>
      <w:r>
        <w:rPr>
          <w:rFonts w:hint="eastAsia" w:ascii="宋体" w:hAnsi="宋体" w:eastAsia="宋体" w:cs="宋体"/>
          <w:sz w:val="28"/>
          <w:szCs w:val="22"/>
        </w:rPr>
        <w:t>4.2 前期统筹策划</w:t>
      </w:r>
      <w:bookmarkEnd w:id="5"/>
    </w:p>
    <w:p>
      <w:pPr>
        <w:adjustRightInd w:val="0"/>
        <w:snapToGrid w:val="0"/>
        <w:spacing w:line="360" w:lineRule="auto"/>
        <w:ind w:firstLine="560" w:firstLineChars="200"/>
        <w:rPr>
          <w:rFonts w:hint="eastAsia" w:ascii="宋体" w:hAnsi="宋体" w:eastAsia="宋体" w:cs="宋体"/>
          <w:b/>
          <w:bCs/>
          <w:sz w:val="28"/>
          <w:szCs w:val="28"/>
        </w:rPr>
      </w:pPr>
      <w:r>
        <w:rPr>
          <w:rFonts w:hint="eastAsia" w:ascii="宋体" w:hAnsi="宋体" w:eastAsia="宋体" w:cs="宋体"/>
          <w:sz w:val="28"/>
          <w:szCs w:val="28"/>
        </w:rPr>
        <w:t xml:space="preserve">4.2.1 </w:t>
      </w:r>
      <w:r>
        <w:rPr>
          <w:rFonts w:ascii="宋体" w:hAnsi="宋体" w:eastAsia="宋体" w:cs="宋体"/>
          <w:sz w:val="28"/>
          <w:szCs w:val="28"/>
        </w:rPr>
        <w:t>宜</w:t>
      </w:r>
      <w:r>
        <w:rPr>
          <w:rFonts w:hint="eastAsia" w:ascii="宋体" w:hAnsi="宋体" w:eastAsia="宋体" w:cs="宋体"/>
          <w:sz w:val="28"/>
          <w:szCs w:val="28"/>
        </w:rPr>
        <w:t>采用工程总承包、全过程工程咨询、建筑师负责制等集约化管理模式，整合策划、设计、施工、交付等全过程管理资源，提升策划执行效率与绿色集约化水平</w:t>
      </w:r>
      <w:r>
        <w:rPr>
          <w:rFonts w:hint="eastAsia" w:ascii="宋体" w:hAnsi="宋体" w:eastAsia="宋体" w:cs="宋体"/>
          <w:b/>
          <w:bCs/>
          <w:sz w:val="28"/>
          <w:szCs w:val="28"/>
        </w:rPr>
        <w:t>。</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4.2.2 应明确建筑全寿命期的碳排放控制目标，并提出减少碳排放的路径和技术措施，如设计阶段选择低碳建筑材料、施工阶段优化施工方案等措施。</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4.2.3 宜采用工程建造全过程、全要素、全参与方协同管理平台。</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4.2.4 宜建立全寿命期碳排放管理平台，实现动态监测项目整体碳排放情况。</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4.2.5 宜制定发明专利、软件著作权以及示范项目荣誉称号等科技发明与示范创优目标。</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4.2.6 宜在招标文件、合同文本中纳入绿色建造目标与责任、成果交付要求及绩效考核条款，确保绿色建造目标按要求实施。</w:t>
      </w:r>
    </w:p>
    <w:p>
      <w:pPr>
        <w:adjustRightInd w:val="0"/>
        <w:snapToGrid w:val="0"/>
        <w:spacing w:line="360" w:lineRule="auto"/>
        <w:rPr>
          <w:rFonts w:hint="eastAsia" w:ascii="宋体" w:hAnsi="宋体" w:eastAsia="宋体" w:cs="宋体"/>
          <w:sz w:val="28"/>
          <w:szCs w:val="28"/>
        </w:rPr>
      </w:pPr>
    </w:p>
    <w:p>
      <w:pPr>
        <w:pStyle w:val="3"/>
        <w:adjustRightInd w:val="0"/>
        <w:snapToGrid w:val="0"/>
        <w:spacing w:before="0" w:after="0" w:line="360" w:lineRule="auto"/>
        <w:jc w:val="center"/>
        <w:rPr>
          <w:rFonts w:hint="eastAsia" w:ascii="宋体" w:hAnsi="宋体" w:eastAsia="宋体" w:cs="宋体"/>
          <w:sz w:val="28"/>
          <w:szCs w:val="22"/>
        </w:rPr>
      </w:pPr>
      <w:bookmarkStart w:id="6" w:name="_Toc2874"/>
      <w:r>
        <w:rPr>
          <w:rFonts w:hint="eastAsia" w:ascii="宋体" w:hAnsi="宋体" w:eastAsia="宋体" w:cs="宋体"/>
          <w:sz w:val="28"/>
          <w:szCs w:val="22"/>
        </w:rPr>
        <w:t>4.3 绿色设计策划</w:t>
      </w:r>
      <w:bookmarkEnd w:id="6"/>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4.3.1 应在策划阶段对设计工作进行系统部署，明确绿色建造目标在设计阶段的实施路径，细化绿色设计的主要任务、重点内容、协同机制、成果交付要求及保障措施。</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4.3.2 应结合地形地貌进行场地设计与建筑布局，且建筑布局应与场地的气候条件和地理环境相适应，并应对场地的风环境、光环境、热环境、声环境等加以组织和利用。</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4.3.3 应结合项目功能定位、场地特征及政策导向，明确绿色建筑设计等级目标与实施路径，统筹安全耐久、健康舒适、生活便利、资源节约、环境宜居等指标体系。</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4.3.4 选取绿色建筑、装配式建筑、健康建筑、被动式建筑、海绵城市等领域的适宜技术，结合项目地域特征、功能需求等自身特点进行协同融合。</w:t>
      </w:r>
    </w:p>
    <w:p>
      <w:pPr>
        <w:adjustRightInd w:val="0"/>
        <w:snapToGrid w:val="0"/>
        <w:spacing w:line="360" w:lineRule="auto"/>
        <w:ind w:firstLine="560" w:firstLineChars="200"/>
        <w:rPr>
          <w:rFonts w:hint="eastAsia" w:ascii="宋体" w:hAnsi="宋体" w:cs="宋体"/>
          <w:sz w:val="28"/>
          <w:szCs w:val="28"/>
        </w:rPr>
      </w:pPr>
      <w:r>
        <w:rPr>
          <w:rFonts w:hint="eastAsia" w:ascii="宋体" w:hAnsi="宋体"/>
          <w:sz w:val="28"/>
          <w:szCs w:val="28"/>
        </w:rPr>
        <w:t>4.3.5 应</w:t>
      </w:r>
      <w:r>
        <w:rPr>
          <w:rFonts w:ascii="宋体" w:hAnsi="宋体"/>
          <w:sz w:val="28"/>
          <w:szCs w:val="28"/>
        </w:rPr>
        <w:t>结合场地资源条件，因地制宜制定可再生能源利用方案，采用浅层地热能、太阳能光伏、光热或其他可再生能源技术，</w:t>
      </w:r>
      <w:r>
        <w:rPr>
          <w:rFonts w:hint="eastAsia" w:ascii="宋体" w:hAnsi="宋体"/>
          <w:sz w:val="28"/>
          <w:szCs w:val="28"/>
        </w:rPr>
        <w:t>提升</w:t>
      </w:r>
      <w:r>
        <w:rPr>
          <w:rFonts w:ascii="宋体" w:hAnsi="宋体"/>
          <w:sz w:val="28"/>
          <w:szCs w:val="28"/>
        </w:rPr>
        <w:t>建筑可再生能源综合利用率</w:t>
      </w:r>
      <w:r>
        <w:rPr>
          <w:rFonts w:hint="eastAsia" w:ascii="宋体" w:hAnsi="宋体"/>
          <w:sz w:val="28"/>
          <w:szCs w:val="28"/>
        </w:rPr>
        <w:t>。</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4.3.6 应统筹建筑的安全、舒适、绿色、智慧等核心性能，在设计阶段落实相应的指标控制策略，推动绿色建造与高品质建筑的深度融合。</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4.3.7 应组织建筑、结构、机电及各专项等开展协同设计，通过推动模型统一、构件标准化、接口一体化等，提升设计成果与施工协同。</w:t>
      </w:r>
    </w:p>
    <w:p>
      <w:pPr>
        <w:tabs>
          <w:tab w:val="left" w:pos="1102"/>
          <w:tab w:val="left" w:pos="4345"/>
          <w:tab w:val="left" w:pos="4783"/>
        </w:tabs>
        <w:spacing w:line="500" w:lineRule="exact"/>
        <w:ind w:firstLine="560" w:firstLineChars="200"/>
        <w:jc w:val="left"/>
        <w:rPr>
          <w:rFonts w:hint="eastAsia" w:ascii="宋体" w:hAnsi="宋体" w:eastAsia="宋体" w:cs="宋体"/>
          <w:sz w:val="28"/>
          <w:szCs w:val="28"/>
        </w:rPr>
      </w:pPr>
    </w:p>
    <w:p>
      <w:pPr>
        <w:pStyle w:val="3"/>
        <w:adjustRightInd w:val="0"/>
        <w:snapToGrid w:val="0"/>
        <w:spacing w:before="0" w:after="0" w:line="360" w:lineRule="auto"/>
        <w:jc w:val="center"/>
        <w:rPr>
          <w:rFonts w:hint="eastAsia" w:ascii="宋体" w:hAnsi="宋体" w:eastAsia="宋体" w:cs="宋体"/>
          <w:sz w:val="28"/>
          <w:szCs w:val="22"/>
        </w:rPr>
      </w:pPr>
      <w:bookmarkStart w:id="7" w:name="_Toc7157"/>
      <w:r>
        <w:rPr>
          <w:rFonts w:hint="eastAsia" w:ascii="宋体" w:hAnsi="宋体" w:eastAsia="宋体" w:cs="宋体"/>
          <w:sz w:val="28"/>
          <w:szCs w:val="22"/>
        </w:rPr>
        <w:t>4.4 绿色施工策划</w:t>
      </w:r>
      <w:bookmarkEnd w:id="7"/>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4.4.1 应统筹绿色施工管理安排，明确施工阶段绿色建造总体目标及各分项目标、控制要点，制定管理体系、管理制度及保障措施。</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4.4.2 应详细规定绿色建材的采购流程，包括选择标准、供应商选择、绿色建材认证要求及材料使用控制机制，并确保其符合绿色建造目标。</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4.4.3 应建立完善的绿色建材现场管理机制，包括材料进场查验、施工过程使用台账等，确保绿色建材设计要求在施工阶段有效落实。</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4.4.4 应统筹规划临时建筑、临时道路、临时用电及排水系统等，优先采用可回收、可周转和标准化的装配式组件，以提升资源利用效率。应确保临时设施与永久设施规划相协调，减少重复建设，降低全寿命期内的资源消耗。</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4.4.5 优先使用电动化机械设备、清洁能源装备、低噪低耗施工机具等，推动施工现场向绿色化、智能化转型升级。</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4.4.6 应统筹推进绿色工地、智慧工地、安全文明标准化工地的融合建设，实现施工现场管理的系统化、集成化。</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4.4.7 施工组织设计应统筹建筑垃圾减量化与资源化利用管理策略，明确不同类型建筑垃圾的回收方式、处置流程与评估考核机制。</w:t>
      </w:r>
    </w:p>
    <w:p>
      <w:pPr>
        <w:adjustRightInd w:val="0"/>
        <w:snapToGrid w:val="0"/>
        <w:spacing w:line="360" w:lineRule="auto"/>
        <w:ind w:firstLine="560" w:firstLineChars="200"/>
        <w:rPr>
          <w:rFonts w:hint="eastAsia" w:ascii="宋体" w:hAnsi="宋体" w:eastAsia="宋体" w:cs="宋体"/>
          <w:sz w:val="28"/>
          <w:szCs w:val="28"/>
        </w:rPr>
      </w:pPr>
    </w:p>
    <w:p>
      <w:pPr>
        <w:pStyle w:val="3"/>
        <w:adjustRightInd w:val="0"/>
        <w:snapToGrid w:val="0"/>
        <w:spacing w:before="0" w:after="0" w:line="360" w:lineRule="auto"/>
        <w:jc w:val="center"/>
        <w:rPr>
          <w:rFonts w:hint="eastAsia" w:ascii="宋体" w:hAnsi="宋体" w:eastAsia="宋体" w:cs="宋体"/>
          <w:sz w:val="28"/>
          <w:szCs w:val="22"/>
        </w:rPr>
      </w:pPr>
      <w:bookmarkStart w:id="8" w:name="_Toc1968"/>
      <w:r>
        <w:rPr>
          <w:rFonts w:hint="eastAsia" w:ascii="宋体" w:hAnsi="宋体" w:eastAsia="宋体" w:cs="宋体"/>
          <w:sz w:val="28"/>
          <w:szCs w:val="22"/>
        </w:rPr>
        <w:t>4.5 绿色交付策划</w:t>
      </w:r>
      <w:bookmarkEnd w:id="8"/>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4.5.1 应统筹安排绿色交付管理工作，建立管理制度，明确交付准备、交付成果以及效果评估等工作内容。</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4.5.2 应在项目交付前组织开展建筑各系统的综合效能调适，确保暖通空调、照明、供配电、给排水、智能设备等主要系统的运行性能满足绿色设计目标要求。</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4.5.3 应结合项目实际确定绿色建造项目的实体交付内容及交付标准。</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4.5.4 宜结合项目实际制定数字化交付标准和方案，明确各阶段责任主体和交付成果。</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4.5.5 应开展绿色建造效果评估，评估内容包括室内环境、建筑垃圾减量化、海绵城市、节能降碳等，并形成系统性的效果评估报告。</w:t>
      </w:r>
    </w:p>
    <w:p>
      <w:pPr>
        <w:adjustRightInd w:val="0"/>
        <w:snapToGrid w:val="0"/>
        <w:spacing w:line="360" w:lineRule="auto"/>
        <w:ind w:firstLine="560" w:firstLineChars="200"/>
        <w:rPr>
          <w:rFonts w:hint="eastAsia" w:ascii="宋体" w:hAnsi="宋体" w:eastAsia="宋体" w:cs="宋体"/>
          <w:sz w:val="28"/>
          <w:szCs w:val="28"/>
        </w:rPr>
      </w:pPr>
    </w:p>
    <w:p>
      <w:pPr>
        <w:pStyle w:val="2"/>
        <w:adjustRightInd w:val="0"/>
        <w:snapToGrid w:val="0"/>
        <w:spacing w:before="0" w:after="0" w:line="360" w:lineRule="auto"/>
        <w:jc w:val="center"/>
        <w:rPr>
          <w:rFonts w:hint="eastAsia" w:ascii="宋体" w:hAnsi="宋体" w:eastAsia="宋体" w:cs="宋体"/>
          <w:sz w:val="28"/>
          <w:szCs w:val="18"/>
        </w:rPr>
        <w:sectPr>
          <w:footerReference r:id="rId5" w:type="default"/>
          <w:pgSz w:w="11906" w:h="16838"/>
          <w:pgMar w:top="1440" w:right="1800" w:bottom="1440" w:left="1800" w:header="851" w:footer="992" w:gutter="0"/>
          <w:cols w:space="425" w:num="1"/>
          <w:docGrid w:type="lines" w:linePitch="312" w:charSpace="0"/>
        </w:sectPr>
      </w:pPr>
    </w:p>
    <w:p>
      <w:pPr>
        <w:pStyle w:val="2"/>
        <w:adjustRightInd w:val="0"/>
        <w:snapToGrid w:val="0"/>
        <w:spacing w:before="0" w:after="0" w:line="360" w:lineRule="auto"/>
        <w:jc w:val="center"/>
        <w:rPr>
          <w:rFonts w:hint="eastAsia" w:ascii="宋体" w:hAnsi="宋体" w:eastAsia="宋体" w:cs="宋体"/>
          <w:sz w:val="28"/>
          <w:szCs w:val="18"/>
        </w:rPr>
      </w:pPr>
      <w:bookmarkStart w:id="9" w:name="_Toc16175"/>
      <w:r>
        <w:rPr>
          <w:rFonts w:hint="eastAsia" w:ascii="宋体" w:hAnsi="宋体" w:eastAsia="宋体" w:cs="宋体"/>
          <w:sz w:val="28"/>
          <w:szCs w:val="18"/>
        </w:rPr>
        <w:t>5 绿色设计</w:t>
      </w:r>
      <w:bookmarkEnd w:id="9"/>
    </w:p>
    <w:p>
      <w:pPr>
        <w:adjustRightInd w:val="0"/>
        <w:snapToGrid w:val="0"/>
        <w:spacing w:line="360" w:lineRule="auto"/>
        <w:ind w:firstLine="560" w:firstLineChars="200"/>
        <w:rPr>
          <w:rFonts w:hint="eastAsia" w:ascii="宋体" w:hAnsi="宋体" w:eastAsia="宋体" w:cs="宋体"/>
          <w:sz w:val="28"/>
          <w:szCs w:val="28"/>
        </w:rPr>
      </w:pPr>
    </w:p>
    <w:p>
      <w:pPr>
        <w:pStyle w:val="3"/>
        <w:adjustRightInd w:val="0"/>
        <w:snapToGrid w:val="0"/>
        <w:spacing w:before="0" w:after="0" w:line="360" w:lineRule="auto"/>
        <w:jc w:val="center"/>
        <w:rPr>
          <w:rFonts w:hint="eastAsia" w:ascii="宋体" w:hAnsi="宋体" w:eastAsia="宋体" w:cs="宋体"/>
          <w:sz w:val="28"/>
          <w:szCs w:val="22"/>
        </w:rPr>
      </w:pPr>
      <w:bookmarkStart w:id="10" w:name="_Toc27471"/>
      <w:r>
        <w:rPr>
          <w:rFonts w:hint="eastAsia" w:ascii="宋体" w:hAnsi="宋体" w:eastAsia="宋体" w:cs="宋体"/>
          <w:sz w:val="28"/>
          <w:szCs w:val="22"/>
        </w:rPr>
        <w:t>5.1 一般规定</w:t>
      </w:r>
      <w:bookmarkEnd w:id="10"/>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5.1.1 绿色设计应符合现行国家标准《建筑节能与可再生能源利用通用规范》GB 55015 、《绿色建筑评价标准》GB/T 50378 等相关规范与标准的要求。</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5.1.2 设计单位应根据绿色建造策划方案，建立绿色设计组织架构，明确职责分工，制定绿色设计管理制度，确定绿色设计管理流程，并经设计负责人批准后组织落实。</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5.1.3 设计单位应根据绿色建造策划方案，在施工图设计阶段编制绿色建造设计专篇，明确设计阶段绿色建造设计目标与措施。</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5.1.4 设计阶段应进行建筑垃圾减量化源头管控，如采用高强度、高性能、高耐久和可循环材料，应用模块化、标准化部品构件，以及采用全专业一体化协同设计等方式。</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5.1.5 工程项目应建立设计变更管理制度，严格控制设计变更。设计变更不应降低工程绿色建造评价等级，重大变更应组织专家对其是否影响工程绿色建造评价等级进行论证。</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5.1.6 施工前，建设单位应组织设计单位向施工单位进行绿色建造设计阶段重点内容专项交底。</w:t>
      </w:r>
    </w:p>
    <w:p>
      <w:pPr>
        <w:tabs>
          <w:tab w:val="left" w:pos="1102"/>
          <w:tab w:val="left" w:pos="4345"/>
          <w:tab w:val="left" w:pos="4783"/>
        </w:tabs>
        <w:spacing w:line="500" w:lineRule="exact"/>
        <w:ind w:firstLine="560" w:firstLineChars="200"/>
        <w:jc w:val="left"/>
        <w:rPr>
          <w:rFonts w:hint="eastAsia" w:ascii="宋体" w:hAnsi="宋体" w:eastAsia="宋体" w:cs="Times New Roman"/>
          <w:sz w:val="28"/>
          <w:szCs w:val="28"/>
        </w:rPr>
      </w:pPr>
      <w:r>
        <w:rPr>
          <w:rFonts w:hint="eastAsia" w:ascii="宋体" w:hAnsi="宋体" w:eastAsia="宋体" w:cs="Times New Roman"/>
          <w:sz w:val="28"/>
          <w:szCs w:val="28"/>
        </w:rPr>
        <w:t xml:space="preserve">  </w:t>
      </w:r>
    </w:p>
    <w:p>
      <w:pPr>
        <w:pStyle w:val="3"/>
        <w:adjustRightInd w:val="0"/>
        <w:snapToGrid w:val="0"/>
        <w:spacing w:before="0" w:after="0" w:line="360" w:lineRule="auto"/>
        <w:jc w:val="center"/>
        <w:rPr>
          <w:rFonts w:hint="eastAsia" w:ascii="宋体" w:hAnsi="宋体" w:eastAsia="宋体" w:cs="宋体"/>
          <w:sz w:val="28"/>
          <w:szCs w:val="22"/>
        </w:rPr>
      </w:pPr>
      <w:bookmarkStart w:id="11" w:name="_Toc26376"/>
      <w:r>
        <w:rPr>
          <w:rFonts w:hint="eastAsia" w:ascii="宋体" w:hAnsi="宋体" w:eastAsia="宋体" w:cs="宋体"/>
          <w:sz w:val="28"/>
          <w:szCs w:val="22"/>
        </w:rPr>
        <w:t>5.2 协同设计</w:t>
      </w:r>
      <w:bookmarkEnd w:id="11"/>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5.2.1 应建立涵盖策划、设计、施工等全过程协同的一体化设计机制，实现施工方的前置参与，统筹管理项目方案设计、初步设计、施工图设计、专项深化设计等内容。</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5.2.2 优先采用协同设计管理平台，实现建筑、结构、机电、装修、景观等全专业一体化协同设计与管理，避免专业内部及专业间由于沟通不畅导致的“错、漏、碰、缺”等问题。</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5.2.3 宜实现部品部件、内外装饰装修、围护结构和机电管线等一体化集成。</w:t>
      </w:r>
    </w:p>
    <w:p>
      <w:pPr>
        <w:tabs>
          <w:tab w:val="left" w:pos="1102"/>
          <w:tab w:val="left" w:pos="4345"/>
          <w:tab w:val="left" w:pos="4783"/>
        </w:tabs>
        <w:spacing w:line="500" w:lineRule="exact"/>
        <w:ind w:firstLine="560" w:firstLineChars="200"/>
        <w:jc w:val="left"/>
        <w:rPr>
          <w:rFonts w:hint="eastAsia" w:ascii="宋体" w:hAnsi="宋体" w:eastAsia="宋体" w:cs="宋体"/>
          <w:sz w:val="28"/>
          <w:szCs w:val="28"/>
        </w:rPr>
      </w:pPr>
    </w:p>
    <w:p>
      <w:pPr>
        <w:pStyle w:val="3"/>
        <w:adjustRightInd w:val="0"/>
        <w:snapToGrid w:val="0"/>
        <w:spacing w:before="0" w:after="0" w:line="360" w:lineRule="auto"/>
        <w:jc w:val="center"/>
        <w:rPr>
          <w:rFonts w:hint="eastAsia" w:ascii="宋体" w:hAnsi="宋体" w:eastAsia="宋体" w:cs="宋体"/>
          <w:sz w:val="28"/>
          <w:szCs w:val="22"/>
        </w:rPr>
      </w:pPr>
      <w:bookmarkStart w:id="12" w:name="_Toc19395"/>
      <w:r>
        <w:rPr>
          <w:rFonts w:hint="eastAsia" w:ascii="宋体" w:hAnsi="宋体" w:eastAsia="宋体" w:cs="宋体"/>
          <w:sz w:val="28"/>
          <w:szCs w:val="22"/>
        </w:rPr>
        <w:t>5.3 数字设计与工业化</w:t>
      </w:r>
      <w:bookmarkEnd w:id="12"/>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5.3.1 应合理推动BIM等数字化设计方式在设计全过程应用，实现设计协同、设计优化。</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 在规划与方案阶段，宜采用BIM、AR、VR等数字化技术建立三维可视化模型，对场地环境、物理环境、出入口、人车流动、建筑性能等方面进行模拟分析，从适用、经济、绿色、美观四个方面对方案进行论证和优化；</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 在初步设计阶段，宜采用BIM技术开展技术方案可行性研究，通过结构安全分析、建筑性能分析、机电管线分析等工作，论证技术方案的适用性、可靠性和经济合理性；</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3 在施工图设计阶段，宜采用BIM技术积极开展三维综合审查、重点区域品质控制及优化、地下机房三维深化、室外管综三维深化等；鼓励有条件的项目采用BIM协同管理平台，提高协同设计水平；</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 在专项深化设计阶段，宜采用BIM技术对钢结构节点、混凝土构件节点、预制构件连接及安装、机电管线安装、装饰装修等专项进行深化设计，将施工操作规范与施工工艺融入深化设计模型，满足施工作业需求。</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5.3.2 宜在项目设计阶段采用AI辅助设计，完成部分设计工作，提升设计效率与品质。</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5.3.3 合理采用装配式建筑技术，优先采用标准化预制构件；宜采用装配化装修，各功能房间墙、顶、地装修采用干法施工；宜采用集成卫生间、集成厨房、装配式机房等；鼓励采用外墙保温与结构一体化、墙体自保温等工业化技术。</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5.3.4 鼓励采用符合工业化建造要求的结构体系与建筑构件，如主体结构采用木结构或钢结构等。</w:t>
      </w:r>
    </w:p>
    <w:p>
      <w:pPr>
        <w:tabs>
          <w:tab w:val="left" w:pos="1102"/>
          <w:tab w:val="left" w:pos="4345"/>
          <w:tab w:val="left" w:pos="4783"/>
        </w:tabs>
        <w:spacing w:line="500" w:lineRule="exact"/>
        <w:ind w:firstLine="560" w:firstLineChars="200"/>
        <w:jc w:val="left"/>
        <w:rPr>
          <w:rFonts w:hint="eastAsia" w:ascii="宋体" w:hAnsi="宋体" w:eastAsia="宋体" w:cs="宋体"/>
          <w:sz w:val="28"/>
          <w:szCs w:val="28"/>
        </w:rPr>
      </w:pPr>
    </w:p>
    <w:p>
      <w:pPr>
        <w:pStyle w:val="3"/>
        <w:adjustRightInd w:val="0"/>
        <w:snapToGrid w:val="0"/>
        <w:spacing w:before="0" w:after="0" w:line="360" w:lineRule="auto"/>
        <w:jc w:val="center"/>
        <w:rPr>
          <w:rFonts w:hint="eastAsia" w:ascii="宋体" w:hAnsi="宋体" w:eastAsia="宋体" w:cs="宋体"/>
          <w:sz w:val="28"/>
          <w:szCs w:val="28"/>
        </w:rPr>
      </w:pPr>
      <w:bookmarkStart w:id="13" w:name="_Toc19788"/>
      <w:r>
        <w:rPr>
          <w:rFonts w:hint="eastAsia" w:ascii="宋体" w:hAnsi="宋体" w:eastAsia="宋体" w:cs="宋体"/>
          <w:sz w:val="28"/>
          <w:szCs w:val="22"/>
        </w:rPr>
        <w:t>5.4 材料选择</w:t>
      </w:r>
      <w:bookmarkEnd w:id="13"/>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5.4.1 建筑材料的选用应符合下列规定：</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 应符合国家和地方相关标准规范环保要求；</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 应优先选用获得绿色建材评价认证标识的建筑材料和产品；</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3 应优先采用高强度、高性能材料；</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 应优先选择地方性建筑材料和当地推广使用的建筑材料。</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5.4.2 外饰面材料、室内装饰装修材料、防水和密封材料等应选用耐久性好、易维护的建筑材料。</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5.4.3 管材、管线、管件应选用耐腐蚀、抗老化、耐久性能好的材料，活动配件应选用长寿命产品，并应考虑部品之间合理的寿命匹配性。不同使用寿命的部品组合时，构造应便于分别拆换、更新和升级。</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5.4.4 采用高强建筑钢筋，400MPa级及以上受力钢筋的比例宜大于85%，鼓励采用500MPa级以上高强钢筋。</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5.4.5 应合理选用可再循环材料、可再利用材料，宜选用以废弃物为原料生产的利废建材。</w:t>
      </w:r>
    </w:p>
    <w:p>
      <w:pPr>
        <w:tabs>
          <w:tab w:val="left" w:pos="1102"/>
          <w:tab w:val="left" w:pos="4345"/>
          <w:tab w:val="left" w:pos="4783"/>
        </w:tabs>
        <w:spacing w:line="500" w:lineRule="exact"/>
        <w:ind w:firstLine="560" w:firstLineChars="200"/>
        <w:jc w:val="left"/>
        <w:rPr>
          <w:rFonts w:hint="eastAsia" w:ascii="宋体" w:hAnsi="宋体" w:eastAsia="宋体" w:cs="Times New Roman"/>
          <w:sz w:val="28"/>
          <w:szCs w:val="28"/>
        </w:rPr>
      </w:pPr>
    </w:p>
    <w:p>
      <w:pPr>
        <w:pStyle w:val="3"/>
        <w:adjustRightInd w:val="0"/>
        <w:snapToGrid w:val="0"/>
        <w:spacing w:before="0" w:after="0" w:line="360" w:lineRule="auto"/>
        <w:jc w:val="center"/>
        <w:rPr>
          <w:rFonts w:hint="eastAsia" w:ascii="宋体" w:hAnsi="宋体" w:eastAsia="宋体" w:cs="宋体"/>
          <w:sz w:val="28"/>
          <w:szCs w:val="28"/>
        </w:rPr>
      </w:pPr>
      <w:bookmarkStart w:id="14" w:name="_Toc21299"/>
      <w:r>
        <w:rPr>
          <w:rFonts w:hint="eastAsia" w:ascii="宋体" w:hAnsi="宋体" w:eastAsia="宋体" w:cs="宋体"/>
          <w:sz w:val="28"/>
          <w:szCs w:val="22"/>
        </w:rPr>
        <w:t>5.5 节能降碳</w:t>
      </w:r>
      <w:bookmarkEnd w:id="14"/>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5.5.1 宜采用建筑设备自动化监控系统与能源管理系统，实现对建筑物内的各类机电设备进行集中监测、控制和管理与建筑能耗的监测、数据分析和管理，提升建筑智能化水平。</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5.5.2 设有2台及2台以上电梯集中布置时，采用群控、变频调速等节能措施。</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5.5.3 应根据项目所在地能源、资源条件以及建筑类型对冷热源方案进行综合论证，合理利用太阳能、风能、浅层地能等可再生能源。优先选择公共集中能源站作为项目的冷热源供应站。</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5.5.4 选用高能效冷热源设备、排风热回收装置等，采取措施降低暖通空调系统能耗。</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5.5.5 宜采用光伏系统或光热系统等技术，并与建筑一体化设计。</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5.5.6 合理规划和设置分布式太阳能光伏发电设施，在公共配套建筑屋顶、非机动车充电设施顶棚、景观路灯等场景中采用光伏发电系统，提高可再生能源利用率。</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5.5.7 宜构建光储充一体化充电站。</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5.5.8 选用高效节水型卫生器具，全部卫生器具的用水效率等级宜达到2级及以上。</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5.5.9 设计阶段宜进行建筑全寿命期碳排放计算分析，并提出减碳措施，形成碳排放计算分析报告。</w:t>
      </w:r>
    </w:p>
    <w:p>
      <w:pPr>
        <w:tabs>
          <w:tab w:val="left" w:pos="1102"/>
          <w:tab w:val="left" w:pos="4345"/>
          <w:tab w:val="left" w:pos="4783"/>
        </w:tabs>
        <w:spacing w:line="500" w:lineRule="exact"/>
        <w:ind w:firstLine="560" w:firstLineChars="200"/>
        <w:jc w:val="left"/>
        <w:rPr>
          <w:rFonts w:hint="eastAsia" w:ascii="宋体" w:hAnsi="宋体" w:eastAsia="宋体" w:cs="宋体"/>
          <w:sz w:val="28"/>
          <w:szCs w:val="28"/>
        </w:rPr>
      </w:pPr>
    </w:p>
    <w:p>
      <w:pPr>
        <w:pStyle w:val="3"/>
        <w:adjustRightInd w:val="0"/>
        <w:snapToGrid w:val="0"/>
        <w:spacing w:before="0" w:after="0" w:line="360" w:lineRule="auto"/>
        <w:jc w:val="center"/>
        <w:rPr>
          <w:rFonts w:hint="eastAsia" w:ascii="宋体" w:hAnsi="宋体" w:eastAsia="宋体" w:cs="宋体"/>
          <w:sz w:val="28"/>
          <w:szCs w:val="22"/>
        </w:rPr>
      </w:pPr>
      <w:bookmarkStart w:id="15" w:name="_Toc5357"/>
      <w:r>
        <w:rPr>
          <w:rFonts w:hint="eastAsia" w:ascii="宋体" w:hAnsi="宋体" w:eastAsia="宋体" w:cs="宋体"/>
          <w:sz w:val="28"/>
          <w:szCs w:val="22"/>
        </w:rPr>
        <w:t>5.6 健康宜居</w:t>
      </w:r>
      <w:bookmarkEnd w:id="15"/>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5.6.1 选用污染物释放率低的装修建材，控制室内主要空气污染物的浓度。氨、甲醛、苯、总挥发性有机物、氡等污染物浓度应符合现行国家标准《室内空气质量标准》GB/T 18883 的有关规定。</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5.6.2 采取措施优化室内声环境、光环境、通风效果，提升工程品质。</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 主要功能房间构件选用高性能隔声材料，选用低噪声设备。外部噪声源传播至主要功能房间的噪声宜比现行国家标准《建筑环境通用规范》GB 55016 限值低3dB及以上；建筑物内部建筑设备传播至主要功能房间的噪声宜比现行国家标准《建筑环境通用规范》GB 55016 限值低3dB及以上；</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 改善室内光环境，充分利用天然采光。居住建筑室内主要功能空间不宜少于60%面积比例区域，其采光照度值不低于300lx的小时数平均不少于8h/d；公共建筑室内主要功能空间不宜少于60%面积比例区域，其采光照度值不低于采光要求的时数平均不少于4h/d；</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3 改善室内通风效果，合理布局，充分利用自然通风。居住建筑自然通风开口面积不宜小于地面面积的5％；公共建筑过渡季典型工况下主要功能房间平均自然通风换气次数不小于2次/h的面积比例宜达到70%及以上。</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5.6.3 进行水资源综合利用专项设计，主要包括下列内容：</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 下凹式绿地、雨水花园等有调蓄功能的绿地和水体面积之和占绿地面积比例宜达到10%及以上；</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 硬质铺装面积中透水铺装的面积比例宜达到40%及以上；</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3 宜衔接和引导不少于80%的道路雨水进入地面生态设施；</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 合理规划场地地表和屋面雨水径流，对场地雨水实施外排总量进行控制，场地年径流总量控制率宜达到70%及以上；</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 合理使用非传统水源包括中水、雨水、海水，用于绿化灌溉、车库及道路冲洗等。</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5.6.4 采用绿化、低辐射材料等措施，降低场地热岛强度。</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 场地中处于建筑阴影区外的步道、游憩场、庭院、广场等室外活动场地设有遮阴措施；</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 宜采用屋顶绿化、空中花园、垂直绿化等措施，提高项目地块绿地率以及碳汇能力；</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3 在建筑屋顶或墙面宜采用高反射率的涂料或瓷砖。</w:t>
      </w:r>
    </w:p>
    <w:p>
      <w:pPr>
        <w:adjustRightInd w:val="0"/>
        <w:snapToGrid w:val="0"/>
        <w:spacing w:line="360" w:lineRule="auto"/>
        <w:ind w:firstLine="560" w:firstLineChars="200"/>
        <w:rPr>
          <w:rFonts w:hint="eastAsia" w:ascii="宋体" w:hAnsi="宋体" w:eastAsia="宋体" w:cs="宋体"/>
          <w:sz w:val="28"/>
          <w:szCs w:val="28"/>
        </w:rPr>
        <w:sectPr>
          <w:pgSz w:w="11906" w:h="16838"/>
          <w:pgMar w:top="1440" w:right="1800" w:bottom="1440" w:left="1800" w:header="851" w:footer="992" w:gutter="0"/>
          <w:cols w:space="425" w:num="1"/>
          <w:docGrid w:type="lines" w:linePitch="312" w:charSpace="0"/>
        </w:sectPr>
      </w:pPr>
    </w:p>
    <w:p>
      <w:pPr>
        <w:spacing w:before="56" w:line="221" w:lineRule="auto"/>
        <w:ind w:left="3476"/>
        <w:outlineLvl w:val="0"/>
        <w:rPr>
          <w:rFonts w:hint="eastAsia" w:ascii="宋体" w:hAnsi="宋体" w:eastAsia="宋体" w:cs="宋体"/>
          <w:sz w:val="28"/>
          <w:szCs w:val="28"/>
        </w:rPr>
      </w:pPr>
      <w:bookmarkStart w:id="16" w:name="_Toc15517"/>
      <w:r>
        <w:rPr>
          <w:rFonts w:ascii="宋体" w:hAnsi="宋体" w:eastAsia="宋体" w:cs="宋体"/>
          <w:b/>
          <w:bCs/>
          <w:spacing w:val="-8"/>
          <w:sz w:val="28"/>
          <w:szCs w:val="28"/>
        </w:rPr>
        <w:t>6</w:t>
      </w:r>
      <w:r>
        <w:rPr>
          <w:rFonts w:ascii="宋体" w:hAnsi="宋体" w:eastAsia="宋体" w:cs="宋体"/>
          <w:spacing w:val="17"/>
          <w:sz w:val="28"/>
          <w:szCs w:val="28"/>
        </w:rPr>
        <w:t xml:space="preserve"> </w:t>
      </w:r>
      <w:r>
        <w:rPr>
          <w:rFonts w:ascii="宋体" w:hAnsi="宋体" w:eastAsia="宋体" w:cs="宋体"/>
          <w:b/>
          <w:bCs/>
          <w:spacing w:val="-8"/>
          <w:sz w:val="28"/>
          <w:szCs w:val="28"/>
        </w:rPr>
        <w:t>绿色施工</w:t>
      </w:r>
      <w:bookmarkEnd w:id="16"/>
    </w:p>
    <w:p>
      <w:pPr>
        <w:pStyle w:val="4"/>
        <w:spacing w:line="330" w:lineRule="auto"/>
        <w:rPr>
          <w:rFonts w:hint="eastAsia"/>
        </w:rPr>
      </w:pPr>
    </w:p>
    <w:p>
      <w:pPr>
        <w:pStyle w:val="3"/>
        <w:adjustRightInd w:val="0"/>
        <w:snapToGrid w:val="0"/>
        <w:spacing w:before="0" w:after="0" w:line="360" w:lineRule="auto"/>
        <w:jc w:val="center"/>
        <w:rPr>
          <w:rFonts w:hint="eastAsia" w:ascii="宋体" w:hAnsi="宋体" w:eastAsia="宋体" w:cs="宋体"/>
          <w:sz w:val="28"/>
          <w:szCs w:val="22"/>
        </w:rPr>
      </w:pPr>
      <w:bookmarkStart w:id="17" w:name="bookmark36"/>
      <w:bookmarkEnd w:id="17"/>
      <w:bookmarkStart w:id="18" w:name="bookmark35"/>
      <w:bookmarkEnd w:id="18"/>
      <w:bookmarkStart w:id="19" w:name="_Toc2398"/>
      <w:r>
        <w:rPr>
          <w:rFonts w:hint="eastAsia" w:ascii="宋体" w:hAnsi="宋体" w:eastAsia="宋体" w:cs="宋体"/>
          <w:sz w:val="28"/>
          <w:szCs w:val="22"/>
        </w:rPr>
        <w:t>6.1 一般规定</w:t>
      </w:r>
      <w:bookmarkEnd w:id="19"/>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6.1.1 绿色施工应符合现行国家标准《建筑工程绿色施工规范》 GB/T 50905 、《建筑与市政工程绿色施工评价标准》GB/T 50640 等相关规范与标准要求。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6.1.2 总承包单位应对工程项目绿色施工负总责，分包单位应承担承包范围内的绿色施工责任。应建立以项目经理为第一责任人的绿色施工管理体系，完善管理制度，明确管理职责，通过组织协调、过程监督和自评价，实现绿色施工全过程的有效实施。</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6.1.3 施工单位应根据绿色建造策划方案进行绿色施工影响因素分析，编制的施工组织设计内容应包含绿色建造技术措施和管理创新理念；同时，应组织编制绿色施工专项方案，细化绿色施工目标及措施；监理单位同步编制绿色建造监理方案。</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6.1.4 施工单位开工前应详细踏勘了解施工场地及毗邻区域内既有建筑物、人文景观、文物古迹、古树名木及生态环境及基础设施管线分布情况，制定相应的场地布置计划和保护措施，制定地下文物保护应急预案。</w:t>
      </w:r>
    </w:p>
    <w:p>
      <w:pPr>
        <w:adjustRightInd w:val="0"/>
        <w:snapToGrid w:val="0"/>
        <w:spacing w:line="360" w:lineRule="auto"/>
        <w:ind w:firstLine="560" w:firstLineChars="200"/>
        <w:rPr>
          <w:rFonts w:hint="eastAsia" w:ascii="宋体" w:hAnsi="宋体" w:eastAsia="宋体" w:cs="宋体"/>
          <w:color w:val="0000FF"/>
          <w:sz w:val="28"/>
          <w:szCs w:val="28"/>
        </w:rPr>
      </w:pPr>
      <w:r>
        <w:rPr>
          <w:rFonts w:hint="eastAsia" w:ascii="宋体" w:hAnsi="宋体" w:eastAsia="宋体" w:cs="宋体"/>
          <w:color w:val="000000" w:themeColor="text1"/>
          <w:sz w:val="28"/>
          <w:szCs w:val="28"/>
          <w14:textFill>
            <w14:solidFill>
              <w14:schemeClr w14:val="tx1"/>
            </w14:solidFill>
          </w14:textFill>
        </w:rPr>
        <w:t>6.1.5 应建立完善的绿色建材供应名录，优先选用绿色建材，如</w:t>
      </w:r>
      <w:r>
        <w:rPr>
          <w:rFonts w:hint="eastAsia" w:ascii="宋体" w:hAnsi="宋体" w:eastAsia="宋体" w:cs="宋体"/>
          <w:sz w:val="28"/>
          <w:szCs w:val="28"/>
        </w:rPr>
        <w:t>预拌混凝土、预拌砂浆、预制构件、砌块材料、保温体系材料等；无机装饰板材、纸面石膏板、泡沫铝板、弹性地板、整体橱柜等；地源热泵系统、雨水处理设备、新风净化系统等。</w:t>
      </w:r>
      <w:bookmarkStart w:id="20" w:name="bookmark63"/>
      <w:bookmarkEnd w:id="20"/>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6.1.6 红线外临时用地应办理相关手续。未经相关政府管理部门许可，不得在农田、耕地、河流、湖泊、湿地弃渣，施工完成后，应进行施工区域内的植被和地貌复原。</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6.1.7 应加强绿色施工方面的“四新”（新技术、新材料、新工艺、新设备）技术推广应用，优先采用“建筑业10项新技术”。</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6.1.8 应积极采用工业化、智能化建造方式，实现工程建设低消耗、低排放、高质量和高效益。</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6.1.9 宜积极运用BIM、AI、物联网、智能装备等信息化技术组织绿色施工，提升施工管理的信息化和精细化水平。</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6.1.10 应达到现行地方标准《江苏省智慧工地建设标准》DB32/T 4175 的要求。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6.1.11 应制定消防疏散、卫生防疫、职业健康安全等管理制度和突发事件应急措施，保障人员身心健康。</w:t>
      </w:r>
    </w:p>
    <w:p>
      <w:pPr>
        <w:tabs>
          <w:tab w:val="left" w:pos="1102"/>
          <w:tab w:val="left" w:pos="4345"/>
          <w:tab w:val="left" w:pos="4783"/>
        </w:tabs>
        <w:spacing w:line="500" w:lineRule="exact"/>
        <w:ind w:firstLine="420" w:firstLineChars="200"/>
        <w:jc w:val="left"/>
        <w:rPr>
          <w:color w:val="000000" w:themeColor="text1"/>
          <w14:textFill>
            <w14:solidFill>
              <w14:schemeClr w14:val="tx1"/>
            </w14:solidFill>
          </w14:textFill>
        </w:rPr>
      </w:pPr>
    </w:p>
    <w:p>
      <w:pPr>
        <w:pStyle w:val="3"/>
        <w:adjustRightInd w:val="0"/>
        <w:snapToGrid w:val="0"/>
        <w:spacing w:before="0" w:after="0" w:line="360" w:lineRule="auto"/>
        <w:jc w:val="center"/>
        <w:rPr>
          <w:rFonts w:hint="eastAsia" w:ascii="宋体" w:hAnsi="宋体" w:eastAsia="宋体" w:cs="宋体"/>
          <w:color w:val="000000" w:themeColor="text1"/>
          <w:sz w:val="28"/>
          <w:szCs w:val="22"/>
          <w14:textFill>
            <w14:solidFill>
              <w14:schemeClr w14:val="tx1"/>
            </w14:solidFill>
          </w14:textFill>
        </w:rPr>
      </w:pPr>
      <w:bookmarkStart w:id="21" w:name="bookmark37"/>
      <w:bookmarkEnd w:id="21"/>
      <w:bookmarkStart w:id="22" w:name="bookmark38"/>
      <w:bookmarkEnd w:id="22"/>
      <w:bookmarkStart w:id="23" w:name="_Toc30811"/>
      <w:r>
        <w:rPr>
          <w:rFonts w:hint="eastAsia" w:ascii="宋体" w:hAnsi="宋体" w:eastAsia="宋体" w:cs="宋体"/>
          <w:color w:val="000000" w:themeColor="text1"/>
          <w:sz w:val="28"/>
          <w:szCs w:val="22"/>
          <w14:textFill>
            <w14:solidFill>
              <w14:schemeClr w14:val="tx1"/>
            </w14:solidFill>
          </w14:textFill>
        </w:rPr>
        <w:t>6.2 协同与优化</w:t>
      </w:r>
      <w:bookmarkEnd w:id="23"/>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6.2.1 应建立并实施公司、项目部及班组的多层级绿色施工交底制度，主要包括下列内容：</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1 公司级交底：由公司技术负责人组织，向项目部明确项目的整体绿色施工策略、创优目标、重大技术路径选择及资源保障要求；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2 项目部级交底：由项目技术负责人向各施工班组及管理人员交底，明确本项目的具体绿色施工目标（如节材、节水、节能、节地等指标）及为实现目标所采取的主要管理、技术措施；</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3 班组级交底：在作业前采用BIM模型等进行三维可视化交底，如演示复杂钢筋节点绑扎、砌体排版、钢结构安装、装修及机电管线综合等工艺和操作要点。</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6.2.2 应结合加工、运输、安装方案和施工工艺要求，对工程重点、难点部位和复杂节点等进行深化设计，如对钢结构与幕墙连接节点、机电综合支吊架等，输出深化图纸和三维可视化交底动画，确保加工精度。</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bookmarkStart w:id="24" w:name="bookmark64"/>
      <w:bookmarkEnd w:id="24"/>
      <w:r>
        <w:rPr>
          <w:rFonts w:hint="eastAsia" w:ascii="宋体" w:hAnsi="宋体" w:eastAsia="宋体" w:cs="宋体"/>
          <w:color w:val="000000" w:themeColor="text1"/>
          <w:sz w:val="28"/>
          <w:szCs w:val="28"/>
          <w14:textFill>
            <w14:solidFill>
              <w14:schemeClr w14:val="tx1"/>
            </w14:solidFill>
          </w14:textFill>
        </w:rPr>
        <w:t>6.2.3 在满足设计要求的前提下，应充分考虑施工临时设施与永久性设施的结合利用，实现永临结合，如将永久道路路基作为施工道路，临时消防水管与永久管网共用主管道，利用地下室永久风管作为施工期通风管道，预埋管穿线照明，消防水池蓄水用于施工用水等。</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p>
    <w:p>
      <w:pPr>
        <w:pStyle w:val="3"/>
        <w:adjustRightInd w:val="0"/>
        <w:snapToGrid w:val="0"/>
        <w:spacing w:before="0" w:after="0" w:line="360" w:lineRule="auto"/>
        <w:jc w:val="center"/>
        <w:rPr>
          <w:rFonts w:hint="eastAsia" w:ascii="宋体" w:hAnsi="宋体" w:eastAsia="宋体" w:cs="宋体"/>
          <w:color w:val="000000" w:themeColor="text1"/>
          <w:sz w:val="28"/>
          <w:szCs w:val="22"/>
          <w14:textFill>
            <w14:solidFill>
              <w14:schemeClr w14:val="tx1"/>
            </w14:solidFill>
          </w14:textFill>
        </w:rPr>
      </w:pPr>
      <w:bookmarkStart w:id="25" w:name="bookmark40"/>
      <w:bookmarkEnd w:id="25"/>
      <w:bookmarkStart w:id="26" w:name="bookmark39"/>
      <w:bookmarkEnd w:id="26"/>
      <w:bookmarkStart w:id="27" w:name="_Toc2455"/>
      <w:r>
        <w:rPr>
          <w:rFonts w:hint="eastAsia" w:ascii="宋体" w:hAnsi="宋体" w:eastAsia="宋体" w:cs="宋体"/>
          <w:color w:val="000000" w:themeColor="text1"/>
          <w:sz w:val="28"/>
          <w:szCs w:val="22"/>
          <w14:textFill>
            <w14:solidFill>
              <w14:schemeClr w14:val="tx1"/>
            </w14:solidFill>
          </w14:textFill>
        </w:rPr>
        <w:t>6.3 环境保护</w:t>
      </w:r>
      <w:bookmarkEnd w:id="27"/>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6.3.1 应通过信息化手段监测并分析施工现场扬尘、噪声、光、污水、有害气体、固体废弃物等各类污染物。</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6.3.2 应采取扬尘控制措施，如自动喷淋、湿作业、绿化、硬化、封闭等。有害气体须经净化处理达标后排放，排放限值应符合现行国家标准《环境空气质量标准》GB 3095 及当地生态环境或住建部门要求。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6.3.3 应采取控制措施降低施工噪声与振动，如采用低噪音设备、静压桩、灌注桩或设置临时隔振沟等。其中，噪声控制须满足现行国家标准《建筑施工场界环境噪声排放标准》GB 12523 的限值要求；振动控制须满足现行国家标准《城市区域环境振动标准》GB 10070 的限值要求。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6.3.4 应采取措施保护施工现场及周边水环境，减少地下水抽取与污水排放。排入城镇下水道的施工污水，水质须符合现行国家标准《污水排入城镇下水道水质标准》GB/T 31962 的规定；无纳管条件的，应处理达标后方可排放。</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6.3.5 应采取措施减少光污染，如采用定向照明，限时施工，电焊遮光等措施，光污染限值应满足现行行业标准《城市夜景照明设计规范》JGJ/T 163 的相关规定。</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6.3.6 应编制施工现场建筑垃圾减量化专项实施方案，明确减量化、资源化具体指标及各项措施。建筑垃圾的回收利用应符合现行国家标准《工程施工废弃物再生利用技术规范》GB/T 50743 的规定。</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1 分阶段制定详细的建筑垃圾减量化计划，减少建筑垃圾产生量；</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2 装配式建筑施工的垃圾排放量不大于200t/万㎡（不包括工程渣土、工程泥浆），非装配式建筑施工的垃圾排放量不大于300t/万㎡（不包括工程渣土、工程泥浆）；</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3 施工现场的建筑垃圾资源化利用，回收利用率达到50%；建筑材料包装物回收利用率达到100%；</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4 现场垃圾分类收集、封闭、集中堆放，并设置明显标识；</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5 采用地磅或自动监测平台，对建筑垃圾的外运废弃、外运利用及现场利用进行动态计量，并建立分类统计台账；</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 废电池、废硒鼓、废墨盒、废油漆、废涂料等有毒有害废弃物，须分类密闭贮存、规范标识，应确保100%分类回收，并由符合资质的专业机构进行规范处置。</w:t>
      </w:r>
    </w:p>
    <w:p>
      <w:pPr>
        <w:tabs>
          <w:tab w:val="left" w:pos="1102"/>
          <w:tab w:val="left" w:pos="4345"/>
          <w:tab w:val="left" w:pos="4783"/>
        </w:tabs>
        <w:spacing w:line="500" w:lineRule="exact"/>
        <w:ind w:firstLine="420" w:firstLineChars="200"/>
        <w:jc w:val="left"/>
        <w:rPr>
          <w:color w:val="000000" w:themeColor="text1"/>
          <w14:textFill>
            <w14:solidFill>
              <w14:schemeClr w14:val="tx1"/>
            </w14:solidFill>
          </w14:textFill>
        </w:rPr>
      </w:pPr>
    </w:p>
    <w:p>
      <w:pPr>
        <w:pStyle w:val="3"/>
        <w:adjustRightInd w:val="0"/>
        <w:snapToGrid w:val="0"/>
        <w:spacing w:before="0" w:after="0" w:line="360" w:lineRule="auto"/>
        <w:jc w:val="center"/>
        <w:rPr>
          <w:rFonts w:hint="eastAsia" w:ascii="宋体" w:hAnsi="宋体" w:eastAsia="宋体" w:cs="宋体"/>
          <w:color w:val="000000" w:themeColor="text1"/>
          <w:sz w:val="28"/>
          <w:szCs w:val="22"/>
          <w14:textFill>
            <w14:solidFill>
              <w14:schemeClr w14:val="tx1"/>
            </w14:solidFill>
          </w14:textFill>
        </w:rPr>
      </w:pPr>
      <w:bookmarkStart w:id="28" w:name="bookmark41"/>
      <w:bookmarkEnd w:id="28"/>
      <w:bookmarkStart w:id="29" w:name="bookmark42"/>
      <w:bookmarkEnd w:id="29"/>
      <w:bookmarkStart w:id="30" w:name="_Toc24953"/>
      <w:r>
        <w:rPr>
          <w:rFonts w:hint="eastAsia" w:ascii="宋体" w:hAnsi="宋体" w:eastAsia="宋体" w:cs="宋体"/>
          <w:color w:val="000000" w:themeColor="text1"/>
          <w:sz w:val="28"/>
          <w:szCs w:val="22"/>
          <w14:textFill>
            <w14:solidFill>
              <w14:schemeClr w14:val="tx1"/>
            </w14:solidFill>
          </w14:textFill>
        </w:rPr>
        <w:t>6.4 资源节约</w:t>
      </w:r>
      <w:bookmarkEnd w:id="30"/>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6.4.1 应采用精益化施工组织方式，统筹管理施工相关要素和环节，提升施工现场精细化管理水平，减少资源消耗与浪费。</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6.4.2 宜采用装配化施工工艺，建筑内外装修优先采用装配式装修等干式工法施工工艺及集成厨卫等模块化部品部件。</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6.4.3 应推广使用新型模架体系和承插型盘扣式支撑结构体系。</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6.4.4 临时设施应深化设计、定型加工，做到可周转、可拆卸，提升周转效率及周转次数，墙体应采用A级防火材料。</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6.4.5 应采用标准化、可周转装配式安全防护设施和场界围挡，提高工业化程度和周转次数。</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6.4.6 应积极推广材料工厂化加工，实现精准下料、精细管理，主要建筑材料损耗率宜比定额损耗率低30%以上。</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6.4.7 应加强施工设备的进场、安装、使用、维护保养、拆除及退场管理，减少过程中设备损耗。</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6.4.8 应采用节能型设备和器具，如LED灯、感应灯、太阳能灯、变频设备等，节能照明灯具使用率应达到100%；应对高能耗设备采用智能电表进行耗能计量，对多台同类设备宜实施群控管理。</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6.4.9 应积极利用适宜的可再生能源，如太阳能、风能、空气能等，用电量宜比定额节约10%以上。</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6.4.10 宜采用新能源工程机械，如新能源叉车、洒水车、升降平台、混凝土搅拌输送车等。</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6.4.11 应采用节水工艺，临时用水系统节水器具配置率应达到100%。</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6.4.12 应因地制宜对施工现场雨水、基坑降水、非传统水源（中水）进行科学收集和合理利用，对利用的非传统水采用智能远传水表进行计量，用水量宜比定额节约10%以上。</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6.4.13 应科学布置施工现场，合理规划临时用地，施工总平面根据功能分区集中布置，并随施工阶段动态调整优化，临时设施占地面积有效利用率大于90%；对深基坑施工方案进行优化，采用垂直支护等方式减少土方开挖和回填量，最大限度地减少对土地的扰动；场内减少地面硬化，宜利用再生材料或可周转材料进行临时场地硬化，如再生砖、道板砖、钢板、预制混凝土板等。</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6.4.14 应采用人力资源节约和健康保护措施，主要包括下列内容：</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1 用人单位须为从事有毒、有害、有刺激性气味或强光、强噪声施工的人员，合理配备个人劳动防护用品；在深井、密闭环境、防水和室内装修施工时，须设置通风设施，以保障人员健康；</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2 制定职业病预防措施，定期对从事有职业病危害作业的人员进行体检；使用水性脱模剂、水性涂料等低危害材料；</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3 现场设置医务室和心理疏导室，并制定人员健康应急预案；</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4 宿舍人均使用面积不得小于2.5㎡，有可开启式外窗，防暑防寒设备，宿舍安装消防报警、灭火器等安全设施，并配置满足施工人员使用的盥洗设施；</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5 现场设置应急照明、应急疏散指示标志及逃生路线图，并设专人负责管理；</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 施工现场应在危险区域、设备及有毒有害物品存放处，设置醒目安全标志，并配备应急设施；现场应实行人车分流，并设置可靠的隔离措施；</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 生活、办公区设分类垃圾桶，每日清运并消毒；食堂执行熟食留样制度；</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8 合理安排工序，减少高温、严寒、雨天及夜间作业，建立合理的休息、休假、加班及女职工特殊保护等管理制度；建立劳务使用台账，统计分析施工现场劳务使用情况。</w:t>
      </w:r>
    </w:p>
    <w:p>
      <w:pPr>
        <w:tabs>
          <w:tab w:val="left" w:pos="1102"/>
          <w:tab w:val="left" w:pos="4345"/>
          <w:tab w:val="left" w:pos="4783"/>
        </w:tabs>
        <w:spacing w:line="500" w:lineRule="exact"/>
        <w:ind w:firstLine="560" w:firstLineChars="200"/>
        <w:jc w:val="left"/>
        <w:rPr>
          <w:rFonts w:hint="eastAsia" w:ascii="宋体" w:hAnsi="宋体" w:eastAsia="宋体" w:cs="Times New Roman"/>
          <w:color w:val="000000" w:themeColor="text1"/>
          <w:sz w:val="28"/>
          <w:szCs w:val="28"/>
          <w14:textFill>
            <w14:solidFill>
              <w14:schemeClr w14:val="tx1"/>
            </w14:solidFill>
          </w14:textFill>
        </w:rPr>
      </w:pPr>
    </w:p>
    <w:p>
      <w:pPr>
        <w:pStyle w:val="3"/>
        <w:adjustRightInd w:val="0"/>
        <w:snapToGrid w:val="0"/>
        <w:spacing w:before="0" w:after="0" w:line="360" w:lineRule="auto"/>
        <w:jc w:val="center"/>
        <w:rPr>
          <w:rFonts w:hint="eastAsia" w:ascii="宋体" w:hAnsi="宋体" w:eastAsia="宋体" w:cs="宋体"/>
          <w:color w:val="000000" w:themeColor="text1"/>
          <w:sz w:val="28"/>
          <w:szCs w:val="22"/>
          <w14:textFill>
            <w14:solidFill>
              <w14:schemeClr w14:val="tx1"/>
            </w14:solidFill>
          </w14:textFill>
        </w:rPr>
      </w:pPr>
      <w:bookmarkStart w:id="31" w:name="bookmark44"/>
      <w:bookmarkEnd w:id="31"/>
      <w:bookmarkStart w:id="32" w:name="bookmark43"/>
      <w:bookmarkEnd w:id="32"/>
      <w:bookmarkStart w:id="33" w:name="_Toc1155"/>
      <w:r>
        <w:rPr>
          <w:rFonts w:hint="eastAsia" w:ascii="宋体" w:hAnsi="宋体" w:eastAsia="宋体" w:cs="宋体"/>
          <w:color w:val="000000" w:themeColor="text1"/>
          <w:sz w:val="28"/>
          <w:szCs w:val="22"/>
          <w14:textFill>
            <w14:solidFill>
              <w14:schemeClr w14:val="tx1"/>
            </w14:solidFill>
          </w14:textFill>
        </w:rPr>
        <w:t>6.5 信息技术应用</w:t>
      </w:r>
      <w:bookmarkEnd w:id="33"/>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6.5.1 项目以BIM技术为支撑，进行深化设计和施工方案优化，主要包括下列内容：</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1 宜采用BIM 技术工程算量辅助；</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2 宜采用BIM 技术进行施工场地布置模拟；</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3 宜在 BIM 模型中加入时间计划节点，进行施工组织计划模拟；</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4 宜基于 BIM 模型的三维可视轻量化模型，进行三维可视化交底；</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5 宜对图纸上复杂节点和重点部位进行提前建模及模拟，进行图纸深化，开展施工组织模拟；</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 宜构建与工程实体数据一致的竣工模型，将竣工验收信息及项目实际情况添加到施工作业模型中，保证模型与工程实体数据一致，需满足交付与运营基本要求。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6.5.2 宜采用智能工程机械设备，如远程操作塔吊、智能升降机、智能混凝土布料机、智能振捣台、自升式智能施工平台（造楼机）等。</w:t>
      </w:r>
    </w:p>
    <w:p>
      <w:pPr>
        <w:adjustRightInd w:val="0"/>
        <w:snapToGrid w:val="0"/>
        <w:spacing w:line="360" w:lineRule="auto"/>
        <w:ind w:firstLine="560" w:firstLineChars="200"/>
        <w:rPr>
          <w:rFonts w:hint="eastAsia" w:ascii="宋体" w:hAnsi="宋体" w:eastAsia="宋体" w:cs="Times New Roman"/>
          <w:color w:val="000000" w:themeColor="text1"/>
          <w:sz w:val="28"/>
          <w:szCs w:val="28"/>
          <w14:textFill>
            <w14:solidFill>
              <w14:schemeClr w14:val="tx1"/>
            </w14:solidFill>
          </w14:textFill>
        </w:rPr>
        <w:sectPr>
          <w:footerReference r:id="rId6" w:type="default"/>
          <w:pgSz w:w="11906" w:h="16838"/>
          <w:pgMar w:top="1440" w:right="1800" w:bottom="1440" w:left="1800" w:header="851" w:footer="992" w:gutter="0"/>
          <w:cols w:space="425" w:num="1"/>
          <w:docGrid w:type="lines" w:linePitch="312" w:charSpace="0"/>
        </w:sectPr>
      </w:pPr>
      <w:r>
        <w:rPr>
          <w:rFonts w:hint="eastAsia" w:ascii="宋体" w:hAnsi="宋体" w:eastAsia="宋体" w:cs="宋体"/>
          <w:color w:val="000000" w:themeColor="text1"/>
          <w:sz w:val="28"/>
          <w:szCs w:val="28"/>
          <w14:textFill>
            <w14:solidFill>
              <w14:schemeClr w14:val="tx1"/>
            </w14:solidFill>
          </w14:textFill>
        </w:rPr>
        <w:t>6.5.3 主体结构、二次结构、装饰工程宜采用施工机器人辅助施工，如钢筋下料、加工、绑扎、焊接机器人；模板安装机器人；混凝土摊铺、整平、打磨机器人；砌墙机器人、搬运机器人；墙面抹灰、打磨、喷涂机器人；贴砖机器人、3D 打印机器人、巡检机器人、工程检测机器人、清洁机器人、测量测绘机器人等，提升施工质量和效率，降低安全风险。</w:t>
      </w:r>
    </w:p>
    <w:p>
      <w:pPr>
        <w:spacing w:before="56" w:line="221" w:lineRule="auto"/>
        <w:ind w:left="3476"/>
        <w:outlineLvl w:val="0"/>
        <w:rPr>
          <w:rFonts w:hint="eastAsia" w:ascii="宋体" w:hAnsi="宋体" w:eastAsia="宋体" w:cs="宋体"/>
          <w:b/>
          <w:bCs/>
          <w:spacing w:val="-8"/>
          <w:sz w:val="28"/>
          <w:szCs w:val="28"/>
        </w:rPr>
      </w:pPr>
      <w:bookmarkStart w:id="34" w:name="_Toc29439"/>
      <w:r>
        <w:rPr>
          <w:rFonts w:hint="eastAsia" w:ascii="宋体" w:hAnsi="宋体" w:eastAsia="宋体" w:cs="宋体"/>
          <w:b/>
          <w:bCs/>
          <w:spacing w:val="-8"/>
          <w:sz w:val="28"/>
          <w:szCs w:val="28"/>
        </w:rPr>
        <w:t>7 绿色交付</w:t>
      </w:r>
      <w:bookmarkEnd w:id="34"/>
    </w:p>
    <w:p>
      <w:pPr>
        <w:adjustRightInd w:val="0"/>
        <w:snapToGrid w:val="0"/>
        <w:spacing w:line="360" w:lineRule="auto"/>
        <w:ind w:firstLine="562" w:firstLineChars="200"/>
        <w:rPr>
          <w:rFonts w:ascii="Times New Roman" w:hAnsi="Times New Roman" w:eastAsia="宋体" w:cs="Times New Roman"/>
          <w:b/>
          <w:sz w:val="28"/>
          <w:szCs w:val="28"/>
          <w:lang w:bidi="ar"/>
        </w:rPr>
      </w:pPr>
    </w:p>
    <w:p>
      <w:pPr>
        <w:adjustRightInd w:val="0"/>
        <w:snapToGrid w:val="0"/>
        <w:spacing w:line="360" w:lineRule="auto"/>
        <w:jc w:val="center"/>
        <w:outlineLvl w:val="1"/>
        <w:rPr>
          <w:rFonts w:ascii="Times New Roman" w:hAnsi="Times New Roman" w:eastAsia="宋体" w:cs="Times New Roman"/>
          <w:b/>
          <w:sz w:val="28"/>
          <w:szCs w:val="28"/>
          <w:lang w:bidi="ar"/>
        </w:rPr>
      </w:pPr>
      <w:bookmarkStart w:id="35" w:name="lsjf001"/>
      <w:bookmarkEnd w:id="35"/>
      <w:bookmarkStart w:id="36" w:name="_Toc22958"/>
      <w:r>
        <w:rPr>
          <w:rFonts w:hint="eastAsia" w:ascii="Times New Roman" w:hAnsi="Times New Roman" w:eastAsia="宋体" w:cs="Times New Roman"/>
          <w:b/>
          <w:sz w:val="28"/>
          <w:szCs w:val="28"/>
          <w:lang w:bidi="ar"/>
        </w:rPr>
        <w:t>7.1 一般规定</w:t>
      </w:r>
      <w:bookmarkEnd w:id="36"/>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bookmarkStart w:id="37" w:name="lsjf00100"/>
      <w:bookmarkEnd w:id="37"/>
      <w:bookmarkStart w:id="38" w:name="_Toc2950926"/>
      <w:r>
        <w:rPr>
          <w:rFonts w:hint="eastAsia" w:ascii="宋体" w:hAnsi="宋体" w:eastAsia="宋体" w:cs="宋体"/>
          <w:color w:val="000000" w:themeColor="text1"/>
          <w:sz w:val="28"/>
          <w:szCs w:val="28"/>
          <w14:textFill>
            <w14:solidFill>
              <w14:schemeClr w14:val="tx1"/>
            </w14:solidFill>
          </w14:textFill>
        </w:rPr>
        <w:t>7.1.1 项目参建各方应根据绿色建造策划方案，建立绿色交付组织架构，明确职责分工，制定绿色交付管理制度，确定绿色交付管理流程，并经项目负责人批准后组织落实。</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7.1.2 应编制建筑机电设备系统、消防系统等建筑物各子系统的运行操作规程、使用说明书和维护保养手册。</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7.1.3 项目各类计量设备、环境监测设施、垃圾收集设施，应齐全、有效。</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7.1.4 项目交付后应及时进行绿色建造效果评估。</w:t>
      </w:r>
    </w:p>
    <w:p>
      <w:pPr>
        <w:tabs>
          <w:tab w:val="left" w:pos="1102"/>
          <w:tab w:val="left" w:pos="4345"/>
          <w:tab w:val="left" w:pos="4783"/>
        </w:tabs>
        <w:spacing w:line="500" w:lineRule="exact"/>
        <w:ind w:firstLine="560" w:firstLineChars="200"/>
        <w:jc w:val="left"/>
        <w:rPr>
          <w:rFonts w:hint="eastAsia" w:ascii="宋体" w:hAnsi="宋体" w:eastAsia="宋体" w:cs="Times New Roman"/>
          <w:sz w:val="28"/>
          <w:szCs w:val="28"/>
        </w:rPr>
      </w:pPr>
    </w:p>
    <w:p>
      <w:pPr>
        <w:adjustRightInd w:val="0"/>
        <w:snapToGrid w:val="0"/>
        <w:spacing w:line="360" w:lineRule="auto"/>
        <w:jc w:val="center"/>
        <w:outlineLvl w:val="1"/>
        <w:rPr>
          <w:rFonts w:ascii="Times New Roman" w:hAnsi="Times New Roman" w:eastAsia="宋体" w:cs="Times New Roman"/>
          <w:b/>
          <w:sz w:val="28"/>
          <w:szCs w:val="28"/>
          <w:lang w:bidi="ar"/>
        </w:rPr>
      </w:pPr>
      <w:bookmarkStart w:id="39" w:name="_Toc9319"/>
      <w:r>
        <w:rPr>
          <w:rFonts w:hint="eastAsia" w:ascii="Times New Roman" w:hAnsi="Times New Roman" w:eastAsia="宋体" w:cs="Times New Roman"/>
          <w:b/>
          <w:sz w:val="28"/>
          <w:szCs w:val="28"/>
          <w:lang w:bidi="ar"/>
        </w:rPr>
        <w:t>7.2 交付准备</w:t>
      </w:r>
      <w:bookmarkEnd w:id="39"/>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7.2.1 应根据竣工验收规定，复核工程竣工验收材料。</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7.2.2 施工单位应对交付使用的工程质量承担保修责任，并在保修书中明确保修期限、范围、方式等内容。</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7.2.3 项目交付前应对接项目运维团队，开展绿色交付培训与资料移交工作，提高交付人员的绿色意识和技能水平。</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7.2.4 交付前应对建筑开展综合效能调适，包括夏季工况、冬季工况及过渡季节工况的调适和性能验证，对建筑各系统、设备进行调试和试运行，并做好记录，使建筑机电系统满足绿色建造目标和实际使用要求。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7.2.5 项目交付前应完成绿色性能相关检测，并提交相关检测报告。</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7.2.6 室内外气体环境监测设备、室内通风设备管理应符合现行行业标准《住宅建筑室内装修污染控制技术标准》JGJ/T 436 和《公共建筑室内空气质量控制设计标准》JGJ/T 461的要求。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7.2.7 垃圾收集点应分布合理，并对垃圾进行分类收集、封闭存放。</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7.2.8 收集绿色建筑、海绵城市、装配式建筑等相关认证或证明文件，并复核是否符合绿色建造策划方案要求。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7.2.9 收集绿色施工、智慧工地、文明标准化工地等相关认证或证明文件，并复核是否符合绿色建造策划方案要求。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7.2.10 宜对项目工程质量潜在缺陷进行投保，主要包括下列内容：</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1 地基基础工程、主体结构工程、屋面防水工程和其他土建工程的质量问题；</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2 装修工程、电气管线、上下水管线等安装工程的质量问题；</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3 供热、供冷系统工程的质量问题等。</w:t>
      </w:r>
    </w:p>
    <w:p>
      <w:pPr>
        <w:adjustRightInd w:val="0"/>
        <w:snapToGrid w:val="0"/>
        <w:spacing w:line="360" w:lineRule="auto"/>
        <w:ind w:firstLine="560" w:firstLineChars="200"/>
        <w:rPr>
          <w:rFonts w:hint="eastAsia" w:ascii="宋体" w:hAnsi="宋体" w:eastAsia="宋体" w:cs="宋体"/>
          <w:sz w:val="28"/>
          <w:szCs w:val="28"/>
        </w:rPr>
      </w:pPr>
    </w:p>
    <w:bookmarkEnd w:id="38"/>
    <w:p>
      <w:pPr>
        <w:adjustRightInd w:val="0"/>
        <w:snapToGrid w:val="0"/>
        <w:spacing w:line="360" w:lineRule="auto"/>
        <w:jc w:val="center"/>
        <w:outlineLvl w:val="1"/>
        <w:rPr>
          <w:rFonts w:hint="eastAsia" w:ascii="宋体" w:hAnsi="宋体" w:eastAsia="宋体" w:cs="Times New Roman"/>
          <w:sz w:val="28"/>
          <w:szCs w:val="28"/>
        </w:rPr>
      </w:pPr>
      <w:bookmarkStart w:id="40" w:name="_Toc18525"/>
      <w:r>
        <w:rPr>
          <w:rFonts w:hint="eastAsia" w:ascii="Times New Roman" w:hAnsi="Times New Roman" w:eastAsia="宋体" w:cs="Times New Roman"/>
          <w:b/>
          <w:sz w:val="28"/>
          <w:szCs w:val="28"/>
          <w:lang w:bidi="ar"/>
        </w:rPr>
        <w:t>7</w:t>
      </w:r>
      <w:r>
        <w:rPr>
          <w:rFonts w:ascii="Times New Roman" w:hAnsi="Times New Roman" w:eastAsia="宋体" w:cs="Times New Roman"/>
          <w:b/>
          <w:sz w:val="28"/>
          <w:szCs w:val="28"/>
          <w:lang w:bidi="ar"/>
        </w:rPr>
        <w:t>.</w:t>
      </w:r>
      <w:r>
        <w:rPr>
          <w:rFonts w:hint="eastAsia" w:ascii="Times New Roman" w:hAnsi="Times New Roman" w:eastAsia="宋体" w:cs="Times New Roman"/>
          <w:b/>
          <w:sz w:val="28"/>
          <w:szCs w:val="28"/>
          <w:lang w:bidi="ar"/>
        </w:rPr>
        <w:t>3 交付内容</w:t>
      </w:r>
      <w:bookmarkEnd w:id="40"/>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7.3.1 应提供项目实体交付和数字化交付成果，数字化交付成果应与实体交付成果保持一致和完整。</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7.3.2 实体交付内容包括建筑实物和配套资料，其中配套资料包括竣工图纸资料、施工管理资料、质量检查报告、各类性能检测报告、专项分析报告、说明书、所获证书、签字文件等。</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7.3.3 宜根据数字化交付标准和方案提供数字化交付成果，内容包括BIM模型、施工影像、与实体交付资料一致的全套电子资料等，其中BIM模型等数字化成果应符合现行国家标准《建筑信息模型设计交付标准》GB/T 51301 的要求。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7.3.4 宜为建筑信息模型各构件建立唯一编码，达到构件维护、保养、更换、质量追溯等要求。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7.3.5 宜建立数字化智慧运行维护平台，平台包括设施设备管理、能源管理、远程监控、应急管理等功能，并具备接入智慧城市（城区、社区）平台的条件。</w:t>
      </w:r>
    </w:p>
    <w:p>
      <w:pPr>
        <w:adjustRightInd w:val="0"/>
        <w:snapToGrid w:val="0"/>
        <w:spacing w:line="360" w:lineRule="auto"/>
        <w:rPr>
          <w:rFonts w:hint="eastAsia" w:ascii="宋体" w:hAnsi="宋体" w:eastAsia="宋体" w:cs="宋体"/>
          <w:sz w:val="28"/>
          <w:szCs w:val="28"/>
        </w:rPr>
      </w:pPr>
    </w:p>
    <w:p>
      <w:pPr>
        <w:adjustRightInd w:val="0"/>
        <w:snapToGrid w:val="0"/>
        <w:spacing w:line="360" w:lineRule="auto"/>
        <w:jc w:val="center"/>
        <w:outlineLvl w:val="1"/>
        <w:rPr>
          <w:rFonts w:ascii="Times New Roman" w:hAnsi="Times New Roman" w:eastAsia="宋体" w:cs="Times New Roman"/>
          <w:b/>
          <w:sz w:val="28"/>
          <w:szCs w:val="28"/>
          <w:lang w:bidi="ar"/>
        </w:rPr>
      </w:pPr>
      <w:bookmarkStart w:id="41" w:name="_Toc3788"/>
      <w:r>
        <w:rPr>
          <w:rFonts w:hint="eastAsia" w:ascii="Times New Roman" w:hAnsi="Times New Roman" w:eastAsia="宋体" w:cs="Times New Roman"/>
          <w:b/>
          <w:sz w:val="28"/>
          <w:szCs w:val="28"/>
          <w:lang w:bidi="ar"/>
        </w:rPr>
        <w:t>7</w:t>
      </w:r>
      <w:r>
        <w:rPr>
          <w:rFonts w:ascii="Times New Roman" w:hAnsi="Times New Roman" w:eastAsia="宋体" w:cs="Times New Roman"/>
          <w:b/>
          <w:sz w:val="28"/>
          <w:szCs w:val="28"/>
          <w:lang w:bidi="ar"/>
        </w:rPr>
        <w:t>.</w:t>
      </w:r>
      <w:r>
        <w:rPr>
          <w:rFonts w:hint="eastAsia" w:ascii="Times New Roman" w:hAnsi="Times New Roman" w:eastAsia="宋体" w:cs="Times New Roman"/>
          <w:b/>
          <w:sz w:val="28"/>
          <w:szCs w:val="28"/>
          <w:lang w:bidi="ar"/>
        </w:rPr>
        <w:t>4 效果评估</w:t>
      </w:r>
      <w:bookmarkEnd w:id="41"/>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7.4.1应对项目进行检测与评估，包括室内环境检测、绿色建造实施效果评估、建筑垃圾减量</w:t>
      </w:r>
      <w:r>
        <w:rPr>
          <w:rFonts w:hint="eastAsia" w:ascii="宋体" w:hAnsi="宋体" w:eastAsia="宋体" w:cs="宋体"/>
          <w:sz w:val="28"/>
          <w:szCs w:val="28"/>
        </w:rPr>
        <w:t>化</w:t>
      </w:r>
      <w:r>
        <w:rPr>
          <w:rFonts w:hint="eastAsia" w:ascii="宋体" w:hAnsi="宋体" w:eastAsia="宋体" w:cs="宋体"/>
          <w:color w:val="000000" w:themeColor="text1"/>
          <w:sz w:val="28"/>
          <w:szCs w:val="28"/>
          <w14:textFill>
            <w14:solidFill>
              <w14:schemeClr w14:val="tx1"/>
            </w14:solidFill>
          </w14:textFill>
        </w:rPr>
        <w:t>效果评估、海绵城市建设效果评估、减排效果评估等。</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1 进行室内环境检测时，应根据现行国家标准《民用建筑工程室内环境污染控制标准》GB 50325执行，确保室内环境符合规定要求；</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8"/>
          <w:szCs w:val="28"/>
          <w14:textFill>
            <w14:solidFill>
              <w14:schemeClr w14:val="tx1"/>
            </w14:solidFill>
          </w14:textFill>
        </w:rPr>
        <w:t>2 进行绿色建造实施效果评估时，应根据绿色建造策划方案进行，证明材料包括参考标准、实施措施、评估结果以及相关附件（如各类台账、相关数据分析报告、过程影像资料等）；</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3 进行建筑垃圾减量化效果评估时，</w:t>
      </w:r>
      <w:r>
        <w:rPr>
          <w:rFonts w:hint="eastAsia" w:ascii="宋体" w:hAnsi="宋体" w:eastAsia="宋体" w:cs="宋体"/>
          <w:color w:val="000000" w:themeColor="text1"/>
          <w:sz w:val="28"/>
          <w:szCs w:val="28"/>
          <w14:textFill>
            <w14:solidFill>
              <w14:schemeClr w14:val="tx1"/>
            </w14:solidFill>
          </w14:textFill>
        </w:rPr>
        <w:t>应根据现行行业标准《施工现场建筑垃圾减量化技术标准》JGJ/T 498执行，证明材料</w:t>
      </w:r>
      <w:r>
        <w:rPr>
          <w:rFonts w:hint="eastAsia" w:ascii="宋体" w:hAnsi="宋体" w:eastAsia="宋体" w:cs="宋体"/>
          <w:sz w:val="28"/>
          <w:szCs w:val="28"/>
        </w:rPr>
        <w:t>包括建筑垃圾统计数量、利废材料使用情况等；</w:t>
      </w:r>
    </w:p>
    <w:p>
      <w:pPr>
        <w:adjustRightInd w:val="0"/>
        <w:snapToGrid w:val="0"/>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 进行海绵城市建设效果评估时，应</w:t>
      </w:r>
      <w:r>
        <w:rPr>
          <w:rFonts w:hint="eastAsia" w:ascii="宋体" w:hAnsi="宋体" w:eastAsia="宋体" w:cs="宋体"/>
          <w:color w:val="000000" w:themeColor="text1"/>
          <w:sz w:val="28"/>
          <w:szCs w:val="28"/>
          <w14:textFill>
            <w14:solidFill>
              <w14:schemeClr w14:val="tx1"/>
            </w14:solidFill>
          </w14:textFill>
        </w:rPr>
        <w:t>根据</w:t>
      </w:r>
      <w:r>
        <w:rPr>
          <w:rFonts w:hint="eastAsia" w:ascii="宋体" w:hAnsi="宋体" w:eastAsia="宋体" w:cs="宋体"/>
          <w:sz w:val="28"/>
          <w:szCs w:val="28"/>
        </w:rPr>
        <w:t>现行国家标准《海绵城市建设评价标准》GB/T 51345执行，</w:t>
      </w:r>
      <w:r>
        <w:rPr>
          <w:rFonts w:hint="eastAsia" w:ascii="宋体" w:hAnsi="宋体" w:eastAsia="宋体" w:cs="宋体"/>
          <w:color w:val="000000" w:themeColor="text1"/>
          <w:sz w:val="28"/>
          <w:szCs w:val="28"/>
          <w14:textFill>
            <w14:solidFill>
              <w14:schemeClr w14:val="tx1"/>
            </w14:solidFill>
          </w14:textFill>
        </w:rPr>
        <w:t>证明材料</w:t>
      </w:r>
      <w:r>
        <w:rPr>
          <w:rFonts w:hint="eastAsia" w:ascii="宋体" w:hAnsi="宋体" w:eastAsia="宋体" w:cs="宋体"/>
          <w:sz w:val="28"/>
          <w:szCs w:val="28"/>
        </w:rPr>
        <w:t>应包括专项技术措施、实施效果与效益等；</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sz w:val="28"/>
          <w:szCs w:val="28"/>
        </w:rPr>
        <w:t>5 进行减排效果评估时，计算方法应</w:t>
      </w:r>
      <w:r>
        <w:rPr>
          <w:rFonts w:hint="eastAsia" w:ascii="宋体" w:hAnsi="宋体" w:eastAsia="宋体" w:cs="宋体"/>
          <w:color w:val="000000" w:themeColor="text1"/>
          <w:sz w:val="28"/>
          <w:szCs w:val="28"/>
          <w14:textFill>
            <w14:solidFill>
              <w14:schemeClr w14:val="tx1"/>
            </w14:solidFill>
          </w14:textFill>
        </w:rPr>
        <w:t>根据</w:t>
      </w:r>
      <w:r>
        <w:rPr>
          <w:rFonts w:hint="eastAsia" w:ascii="宋体" w:hAnsi="宋体" w:eastAsia="宋体" w:cs="宋体"/>
          <w:sz w:val="28"/>
          <w:szCs w:val="28"/>
        </w:rPr>
        <w:t>现行国家标准《建筑碳排放计算标准》GB/T 51366执行，</w:t>
      </w:r>
      <w:r>
        <w:rPr>
          <w:rFonts w:hint="eastAsia" w:ascii="宋体" w:hAnsi="宋体" w:eastAsia="宋体" w:cs="宋体"/>
          <w:color w:val="000000" w:themeColor="text1"/>
          <w:sz w:val="28"/>
          <w:szCs w:val="28"/>
          <w14:textFill>
            <w14:solidFill>
              <w14:schemeClr w14:val="tx1"/>
            </w14:solidFill>
          </w14:textFill>
        </w:rPr>
        <w:t>证明材料</w:t>
      </w:r>
      <w:r>
        <w:rPr>
          <w:rFonts w:hint="eastAsia" w:ascii="宋体" w:hAnsi="宋体" w:eastAsia="宋体" w:cs="宋体"/>
          <w:sz w:val="28"/>
          <w:szCs w:val="28"/>
        </w:rPr>
        <w:t>应包括碳排放计算报告、减碳措施总结报告等</w:t>
      </w:r>
      <w:r>
        <w:rPr>
          <w:rFonts w:hint="eastAsia" w:ascii="宋体" w:hAnsi="宋体" w:eastAsia="宋体" w:cs="宋体"/>
          <w:color w:val="000000" w:themeColor="text1"/>
          <w:sz w:val="28"/>
          <w:szCs w:val="28"/>
          <w14:textFill>
            <w14:solidFill>
              <w14:schemeClr w14:val="tx1"/>
            </w14:solidFill>
          </w14:textFill>
        </w:rPr>
        <w:t>。</w:t>
      </w:r>
    </w:p>
    <w:p>
      <w:pPr>
        <w:adjustRightInd w:val="0"/>
        <w:snapToGrid w:val="0"/>
        <w:spacing w:line="360" w:lineRule="auto"/>
        <w:ind w:firstLine="560" w:firstLineChars="200"/>
        <w:rPr>
          <w:rFonts w:hint="eastAsia" w:ascii="宋体" w:hAnsi="宋体" w:eastAsia="宋体" w:cs="宋体"/>
          <w:color w:val="000000" w:themeColor="text1"/>
          <w:sz w:val="28"/>
          <w:szCs w:val="28"/>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Arial">
    <w:panose1 w:val="020B0604020202020204"/>
    <w:charset w:val="00"/>
    <w:family w:val="swiss"/>
    <w:pitch w:val="default"/>
    <w:sig w:usb0="E0002EFF" w:usb1="C000785B" w:usb2="00000009" w:usb3="00000000" w:csb0="400001FF" w:csb1="FFFF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ACF3C50"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cR+mXFQIAABs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LNJ&#10;WO7QAAAABQEAAA8AAAAAAAAAAQAgAAAAOAAAAGRycy9kb3ducmV2LnhtbFBLAQIUABQAAAAIAIdO&#10;4kCcR+mXFQIAABsEAAAOAAAAAAAAAAEAIAAAADUBAABkcnMvZTJvRG9jLnhtbFBLBQYAAAAABgAG&#10;AFkBAAC8BQ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090"/>
      <w:rPr>
        <w:rFonts w:ascii="Calibri" w:hAnsi="Calibri" w:eastAsia="宋体" w:cs="Calibri"/>
        <w:sz w:val="18"/>
        <w:szCs w:val="18"/>
      </w:rPr>
    </w:pPr>
    <w:r>
      <w:rPr>
        <w:rFonts w:hint="eastAsia" w:ascii="Calibri" w:hAnsi="Calibri" w:eastAsia="宋体" w:cs="Calibri"/>
        <w:sz w:val="18"/>
        <w:szCs w:val="18"/>
      </w:rPr>
      <w:t>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090"/>
      <w:rPr>
        <w:rFonts w:ascii="Calibri" w:hAnsi="Calibri" w:eastAsia="Calibri" w:cs="Calibri"/>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LNJ&#10;WO7QAAAABQEAAA8AAAAAAAAAAQAgAAAAOAAAAGRycy9kb3ducmV2LnhtbFBLAQIUABQAAAAIAIdO&#10;4kC9IkRNFQIAABsEAAAOAAAAAAAAAAEAIAAAADUBAABkcnMvZTJvRG9jLnhtbFBLBQYAAAAABgAG&#10;AFkBAAC8BQ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084"/>
      <w:rPr>
        <w:rFonts w:ascii="Calibri" w:hAnsi="Calibri" w:eastAsia="宋体" w:cs="Calibri"/>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19</w:t>
                          </w:r>
                          <w: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LNJ&#10;WO7QAAAABQEAAA8AAAAAAAAAAQAgAAAAOAAAAGRycy9kb3ducmV2LnhtbFBLAQIUABQAAAAIAIdO&#10;4kCfi8L5FQIAABsEAAAOAAAAAAAAAAEAIAAAADUBAABkcnMvZTJvRG9jLnhtbFBLBQYAAAAABgAG&#10;AFkBAAC8BQ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19</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AB3DC3"/>
    <w:rsid w:val="000A5AA8"/>
    <w:rsid w:val="001B54C8"/>
    <w:rsid w:val="002809CD"/>
    <w:rsid w:val="00351550"/>
    <w:rsid w:val="004277C9"/>
    <w:rsid w:val="005319D6"/>
    <w:rsid w:val="006664C4"/>
    <w:rsid w:val="006B23AC"/>
    <w:rsid w:val="009E5533"/>
    <w:rsid w:val="009F35C1"/>
    <w:rsid w:val="00AD7A16"/>
    <w:rsid w:val="00DD2879"/>
    <w:rsid w:val="01200BDD"/>
    <w:rsid w:val="013144B8"/>
    <w:rsid w:val="01C25044"/>
    <w:rsid w:val="020149A5"/>
    <w:rsid w:val="023D25C9"/>
    <w:rsid w:val="0365214C"/>
    <w:rsid w:val="038025CF"/>
    <w:rsid w:val="038D51FF"/>
    <w:rsid w:val="03E25E9F"/>
    <w:rsid w:val="03E70DB3"/>
    <w:rsid w:val="04165086"/>
    <w:rsid w:val="042958F0"/>
    <w:rsid w:val="0463574E"/>
    <w:rsid w:val="047A5783"/>
    <w:rsid w:val="049727D9"/>
    <w:rsid w:val="04FC6AE0"/>
    <w:rsid w:val="050E411D"/>
    <w:rsid w:val="05281683"/>
    <w:rsid w:val="056B1442"/>
    <w:rsid w:val="062C7098"/>
    <w:rsid w:val="065B7836"/>
    <w:rsid w:val="067E399B"/>
    <w:rsid w:val="06824DC3"/>
    <w:rsid w:val="06877ACE"/>
    <w:rsid w:val="06930D7E"/>
    <w:rsid w:val="06A64F55"/>
    <w:rsid w:val="06C76C7A"/>
    <w:rsid w:val="06E25862"/>
    <w:rsid w:val="06EE06AA"/>
    <w:rsid w:val="06F33485"/>
    <w:rsid w:val="072D3364"/>
    <w:rsid w:val="073A38EF"/>
    <w:rsid w:val="0741648A"/>
    <w:rsid w:val="075C1AB8"/>
    <w:rsid w:val="07DC756A"/>
    <w:rsid w:val="07F12200"/>
    <w:rsid w:val="08255401"/>
    <w:rsid w:val="08B60D54"/>
    <w:rsid w:val="08B61527"/>
    <w:rsid w:val="09CF5526"/>
    <w:rsid w:val="09FC6C3A"/>
    <w:rsid w:val="0A0B1BC6"/>
    <w:rsid w:val="0A8565D3"/>
    <w:rsid w:val="0AD328E0"/>
    <w:rsid w:val="0AE53B72"/>
    <w:rsid w:val="0AEF054D"/>
    <w:rsid w:val="0AF206D1"/>
    <w:rsid w:val="0B212BCE"/>
    <w:rsid w:val="0B2C45E8"/>
    <w:rsid w:val="0B427292"/>
    <w:rsid w:val="0B5F56D3"/>
    <w:rsid w:val="0B892750"/>
    <w:rsid w:val="0BAA20CC"/>
    <w:rsid w:val="0C203DF5"/>
    <w:rsid w:val="0C234952"/>
    <w:rsid w:val="0C2519AD"/>
    <w:rsid w:val="0C2A0BF5"/>
    <w:rsid w:val="0C52186C"/>
    <w:rsid w:val="0C8275C7"/>
    <w:rsid w:val="0CA26580"/>
    <w:rsid w:val="0CAB327E"/>
    <w:rsid w:val="0CAB3DC3"/>
    <w:rsid w:val="0D411C81"/>
    <w:rsid w:val="0D4C22C8"/>
    <w:rsid w:val="0D817E13"/>
    <w:rsid w:val="0DCA3859"/>
    <w:rsid w:val="0DEA1BCB"/>
    <w:rsid w:val="0E032C3B"/>
    <w:rsid w:val="0E424B5A"/>
    <w:rsid w:val="0E441F19"/>
    <w:rsid w:val="0E9140FC"/>
    <w:rsid w:val="0ED97690"/>
    <w:rsid w:val="0EE26D46"/>
    <w:rsid w:val="0EFC64DF"/>
    <w:rsid w:val="0F0B6BF5"/>
    <w:rsid w:val="0F3D5D2B"/>
    <w:rsid w:val="0F3F13D5"/>
    <w:rsid w:val="0F8B118C"/>
    <w:rsid w:val="0F900A8A"/>
    <w:rsid w:val="0FA61B22"/>
    <w:rsid w:val="0FE60171"/>
    <w:rsid w:val="0FFA33C7"/>
    <w:rsid w:val="0FFF56D6"/>
    <w:rsid w:val="102B0279"/>
    <w:rsid w:val="10303AE2"/>
    <w:rsid w:val="10505F32"/>
    <w:rsid w:val="1060694B"/>
    <w:rsid w:val="108459C8"/>
    <w:rsid w:val="10A85721"/>
    <w:rsid w:val="10D10E21"/>
    <w:rsid w:val="10E8616A"/>
    <w:rsid w:val="116C28F7"/>
    <w:rsid w:val="11B85B3D"/>
    <w:rsid w:val="11D72467"/>
    <w:rsid w:val="11DB27C0"/>
    <w:rsid w:val="123C49C0"/>
    <w:rsid w:val="12BB55BA"/>
    <w:rsid w:val="13246BEB"/>
    <w:rsid w:val="137D0DEC"/>
    <w:rsid w:val="13C133CE"/>
    <w:rsid w:val="13CE5AEB"/>
    <w:rsid w:val="13FE7D73"/>
    <w:rsid w:val="14067033"/>
    <w:rsid w:val="142825B6"/>
    <w:rsid w:val="14BF5434"/>
    <w:rsid w:val="14C7309D"/>
    <w:rsid w:val="14CF1B1B"/>
    <w:rsid w:val="14E804E7"/>
    <w:rsid w:val="14E927F0"/>
    <w:rsid w:val="15111E38"/>
    <w:rsid w:val="158D282A"/>
    <w:rsid w:val="15AD20D5"/>
    <w:rsid w:val="15DB004C"/>
    <w:rsid w:val="15E038B4"/>
    <w:rsid w:val="16270C62"/>
    <w:rsid w:val="164D2C8B"/>
    <w:rsid w:val="1671301E"/>
    <w:rsid w:val="16C75380"/>
    <w:rsid w:val="16DC07ED"/>
    <w:rsid w:val="16ED59FC"/>
    <w:rsid w:val="16F1077A"/>
    <w:rsid w:val="17255A22"/>
    <w:rsid w:val="17CF253E"/>
    <w:rsid w:val="17F33FE8"/>
    <w:rsid w:val="180B3699"/>
    <w:rsid w:val="1839051B"/>
    <w:rsid w:val="18643F78"/>
    <w:rsid w:val="18794919"/>
    <w:rsid w:val="18D3325C"/>
    <w:rsid w:val="194B4AD0"/>
    <w:rsid w:val="199C502D"/>
    <w:rsid w:val="19AC7D2F"/>
    <w:rsid w:val="19AE61A3"/>
    <w:rsid w:val="1A183074"/>
    <w:rsid w:val="1A78230D"/>
    <w:rsid w:val="1AD631DF"/>
    <w:rsid w:val="1AF3236D"/>
    <w:rsid w:val="1B65363C"/>
    <w:rsid w:val="1B6F7ED2"/>
    <w:rsid w:val="1C085913"/>
    <w:rsid w:val="1C200EAE"/>
    <w:rsid w:val="1C2029B3"/>
    <w:rsid w:val="1D0165EA"/>
    <w:rsid w:val="1D232A97"/>
    <w:rsid w:val="1E0D7210"/>
    <w:rsid w:val="1E1A5E1A"/>
    <w:rsid w:val="1E292569"/>
    <w:rsid w:val="1E4F5A7B"/>
    <w:rsid w:val="1EB47B1E"/>
    <w:rsid w:val="1EC42711"/>
    <w:rsid w:val="1EEB57A3"/>
    <w:rsid w:val="1F557F49"/>
    <w:rsid w:val="1F59290C"/>
    <w:rsid w:val="1FE2130C"/>
    <w:rsid w:val="1FF73CD4"/>
    <w:rsid w:val="200E0DE0"/>
    <w:rsid w:val="20232D1B"/>
    <w:rsid w:val="20803F42"/>
    <w:rsid w:val="20A65A02"/>
    <w:rsid w:val="20F052F3"/>
    <w:rsid w:val="20F72B0A"/>
    <w:rsid w:val="210E7527"/>
    <w:rsid w:val="218540A0"/>
    <w:rsid w:val="21BC6F83"/>
    <w:rsid w:val="22623FCE"/>
    <w:rsid w:val="227B299A"/>
    <w:rsid w:val="228850B7"/>
    <w:rsid w:val="22DC6741"/>
    <w:rsid w:val="241E546F"/>
    <w:rsid w:val="242D5132"/>
    <w:rsid w:val="245F1806"/>
    <w:rsid w:val="246C5363"/>
    <w:rsid w:val="24B71C84"/>
    <w:rsid w:val="24C148B0"/>
    <w:rsid w:val="24ED56A6"/>
    <w:rsid w:val="251B6E1C"/>
    <w:rsid w:val="25257535"/>
    <w:rsid w:val="254C3BA3"/>
    <w:rsid w:val="257F19DD"/>
    <w:rsid w:val="25D4520B"/>
    <w:rsid w:val="25DE324A"/>
    <w:rsid w:val="25E6671E"/>
    <w:rsid w:val="267C7987"/>
    <w:rsid w:val="26C57D91"/>
    <w:rsid w:val="270D0281"/>
    <w:rsid w:val="27196C26"/>
    <w:rsid w:val="27520F90"/>
    <w:rsid w:val="277D71B5"/>
    <w:rsid w:val="27890C93"/>
    <w:rsid w:val="278C73F8"/>
    <w:rsid w:val="27932534"/>
    <w:rsid w:val="27F51441"/>
    <w:rsid w:val="27FD1D81"/>
    <w:rsid w:val="27FF406E"/>
    <w:rsid w:val="28275AF0"/>
    <w:rsid w:val="288F6E63"/>
    <w:rsid w:val="28A902E6"/>
    <w:rsid w:val="28AD3ACA"/>
    <w:rsid w:val="28AF15F0"/>
    <w:rsid w:val="28D05E49"/>
    <w:rsid w:val="29000DA6"/>
    <w:rsid w:val="29146FF1"/>
    <w:rsid w:val="296C2904"/>
    <w:rsid w:val="29B02267"/>
    <w:rsid w:val="29B53FFD"/>
    <w:rsid w:val="2A133E00"/>
    <w:rsid w:val="2A475858"/>
    <w:rsid w:val="2A704DAF"/>
    <w:rsid w:val="2ABF1892"/>
    <w:rsid w:val="2ACB6489"/>
    <w:rsid w:val="2AF12D17"/>
    <w:rsid w:val="2AF7102C"/>
    <w:rsid w:val="2B146082"/>
    <w:rsid w:val="2B2B04E8"/>
    <w:rsid w:val="2B2F1E66"/>
    <w:rsid w:val="2B6F5066"/>
    <w:rsid w:val="2BCA04EF"/>
    <w:rsid w:val="2BE93DA4"/>
    <w:rsid w:val="2C1856FE"/>
    <w:rsid w:val="2C1C51EE"/>
    <w:rsid w:val="2C351E0C"/>
    <w:rsid w:val="2C5030EA"/>
    <w:rsid w:val="2C55425C"/>
    <w:rsid w:val="2C5D030E"/>
    <w:rsid w:val="2C5E252A"/>
    <w:rsid w:val="2C9F7BCD"/>
    <w:rsid w:val="2CFB5FD8"/>
    <w:rsid w:val="2EA80FBB"/>
    <w:rsid w:val="2EF04F0D"/>
    <w:rsid w:val="2EF44200"/>
    <w:rsid w:val="2F6C023B"/>
    <w:rsid w:val="2F8337D6"/>
    <w:rsid w:val="2F9B467C"/>
    <w:rsid w:val="2FA911B7"/>
    <w:rsid w:val="30137EAD"/>
    <w:rsid w:val="3015555F"/>
    <w:rsid w:val="301937F3"/>
    <w:rsid w:val="30676C54"/>
    <w:rsid w:val="3085479D"/>
    <w:rsid w:val="30EB518F"/>
    <w:rsid w:val="31057C08"/>
    <w:rsid w:val="3114768E"/>
    <w:rsid w:val="312E32CE"/>
    <w:rsid w:val="315D35D4"/>
    <w:rsid w:val="318F45E9"/>
    <w:rsid w:val="31973569"/>
    <w:rsid w:val="31B672C5"/>
    <w:rsid w:val="31CA32A3"/>
    <w:rsid w:val="31D63CDE"/>
    <w:rsid w:val="32584AA6"/>
    <w:rsid w:val="325A081E"/>
    <w:rsid w:val="328B57E3"/>
    <w:rsid w:val="32A61E4B"/>
    <w:rsid w:val="32BF2D77"/>
    <w:rsid w:val="3325780D"/>
    <w:rsid w:val="33264BA4"/>
    <w:rsid w:val="33274D6F"/>
    <w:rsid w:val="33296443"/>
    <w:rsid w:val="33572F77"/>
    <w:rsid w:val="33777425"/>
    <w:rsid w:val="33CF0D98"/>
    <w:rsid w:val="34180991"/>
    <w:rsid w:val="345E3ECA"/>
    <w:rsid w:val="346A3DC0"/>
    <w:rsid w:val="3483478F"/>
    <w:rsid w:val="34954BA2"/>
    <w:rsid w:val="35487054"/>
    <w:rsid w:val="354A2C5E"/>
    <w:rsid w:val="354B4447"/>
    <w:rsid w:val="356C3834"/>
    <w:rsid w:val="3596638C"/>
    <w:rsid w:val="35B778E1"/>
    <w:rsid w:val="35C366DA"/>
    <w:rsid w:val="35D62830"/>
    <w:rsid w:val="35FC1BEC"/>
    <w:rsid w:val="363C34A7"/>
    <w:rsid w:val="3649690D"/>
    <w:rsid w:val="36883480"/>
    <w:rsid w:val="36E11D76"/>
    <w:rsid w:val="36EA17D4"/>
    <w:rsid w:val="36F61E48"/>
    <w:rsid w:val="372E04CB"/>
    <w:rsid w:val="37704640"/>
    <w:rsid w:val="379C3687"/>
    <w:rsid w:val="38196A86"/>
    <w:rsid w:val="38376F0C"/>
    <w:rsid w:val="38DD3F57"/>
    <w:rsid w:val="38F80803"/>
    <w:rsid w:val="39242E7A"/>
    <w:rsid w:val="392748D4"/>
    <w:rsid w:val="392A2C13"/>
    <w:rsid w:val="395848AD"/>
    <w:rsid w:val="39797178"/>
    <w:rsid w:val="39AF6187"/>
    <w:rsid w:val="39D57883"/>
    <w:rsid w:val="3A0379ED"/>
    <w:rsid w:val="3A217E73"/>
    <w:rsid w:val="3A3B1EDD"/>
    <w:rsid w:val="3AA30888"/>
    <w:rsid w:val="3AA75770"/>
    <w:rsid w:val="3AC3717D"/>
    <w:rsid w:val="3B143534"/>
    <w:rsid w:val="3B6E70E8"/>
    <w:rsid w:val="3B7B35B3"/>
    <w:rsid w:val="3C1578F5"/>
    <w:rsid w:val="3C664263"/>
    <w:rsid w:val="3C8C2BC5"/>
    <w:rsid w:val="3CD92C87"/>
    <w:rsid w:val="3CFE624A"/>
    <w:rsid w:val="3D0221DE"/>
    <w:rsid w:val="3D6B6A8C"/>
    <w:rsid w:val="3D8E3A72"/>
    <w:rsid w:val="3DB8289D"/>
    <w:rsid w:val="3E2454B0"/>
    <w:rsid w:val="3E564387"/>
    <w:rsid w:val="3E622809"/>
    <w:rsid w:val="3E7F45FD"/>
    <w:rsid w:val="3E996A7E"/>
    <w:rsid w:val="3EDC75EF"/>
    <w:rsid w:val="3EF1250A"/>
    <w:rsid w:val="3F163D1F"/>
    <w:rsid w:val="3F285800"/>
    <w:rsid w:val="3F47212A"/>
    <w:rsid w:val="3FF8002F"/>
    <w:rsid w:val="3FFA0F4B"/>
    <w:rsid w:val="40086C12"/>
    <w:rsid w:val="40161AFD"/>
    <w:rsid w:val="40324B88"/>
    <w:rsid w:val="40E96BAB"/>
    <w:rsid w:val="40ED1437"/>
    <w:rsid w:val="41483F38"/>
    <w:rsid w:val="415B2A37"/>
    <w:rsid w:val="417B41BA"/>
    <w:rsid w:val="41DF489C"/>
    <w:rsid w:val="41E954E5"/>
    <w:rsid w:val="42254279"/>
    <w:rsid w:val="423314CE"/>
    <w:rsid w:val="42371D60"/>
    <w:rsid w:val="423D7815"/>
    <w:rsid w:val="427A45C5"/>
    <w:rsid w:val="42801BA5"/>
    <w:rsid w:val="429513FF"/>
    <w:rsid w:val="42AC7F1B"/>
    <w:rsid w:val="42B51AC8"/>
    <w:rsid w:val="42C84A20"/>
    <w:rsid w:val="43140575"/>
    <w:rsid w:val="4323171F"/>
    <w:rsid w:val="432A08FD"/>
    <w:rsid w:val="435F7DFD"/>
    <w:rsid w:val="43BC5920"/>
    <w:rsid w:val="43DB1093"/>
    <w:rsid w:val="43E80F94"/>
    <w:rsid w:val="43ED6A03"/>
    <w:rsid w:val="43F73926"/>
    <w:rsid w:val="442A5B77"/>
    <w:rsid w:val="443B7D84"/>
    <w:rsid w:val="444F7E2D"/>
    <w:rsid w:val="447F4114"/>
    <w:rsid w:val="44C250BF"/>
    <w:rsid w:val="454245ED"/>
    <w:rsid w:val="454C4B3C"/>
    <w:rsid w:val="457C68A6"/>
    <w:rsid w:val="45875241"/>
    <w:rsid w:val="45B86578"/>
    <w:rsid w:val="45E278DF"/>
    <w:rsid w:val="4645313C"/>
    <w:rsid w:val="464C6278"/>
    <w:rsid w:val="465E7D59"/>
    <w:rsid w:val="468974CC"/>
    <w:rsid w:val="46B85AEA"/>
    <w:rsid w:val="47C27402"/>
    <w:rsid w:val="47CA7D9C"/>
    <w:rsid w:val="47DB46E5"/>
    <w:rsid w:val="48517B76"/>
    <w:rsid w:val="489B21D0"/>
    <w:rsid w:val="48B3264E"/>
    <w:rsid w:val="48C60564"/>
    <w:rsid w:val="48E11739"/>
    <w:rsid w:val="48F92C46"/>
    <w:rsid w:val="49142F9E"/>
    <w:rsid w:val="4929082D"/>
    <w:rsid w:val="495C67D2"/>
    <w:rsid w:val="4981448B"/>
    <w:rsid w:val="49D036BB"/>
    <w:rsid w:val="49F90A65"/>
    <w:rsid w:val="4A175E73"/>
    <w:rsid w:val="4A875AD1"/>
    <w:rsid w:val="4A993D02"/>
    <w:rsid w:val="4AA56C78"/>
    <w:rsid w:val="4AD00349"/>
    <w:rsid w:val="4AE40116"/>
    <w:rsid w:val="4B4820C4"/>
    <w:rsid w:val="4BFA27EF"/>
    <w:rsid w:val="4C675BBA"/>
    <w:rsid w:val="4C722406"/>
    <w:rsid w:val="4CCE3E8B"/>
    <w:rsid w:val="4D2B4E39"/>
    <w:rsid w:val="4DD12E95"/>
    <w:rsid w:val="4DF27705"/>
    <w:rsid w:val="4E200716"/>
    <w:rsid w:val="4E2F2707"/>
    <w:rsid w:val="4E915170"/>
    <w:rsid w:val="4EAC1C0B"/>
    <w:rsid w:val="4ED27537"/>
    <w:rsid w:val="4EDD6428"/>
    <w:rsid w:val="4F18319B"/>
    <w:rsid w:val="4F212D4E"/>
    <w:rsid w:val="4F8F3CAF"/>
    <w:rsid w:val="4FF05EC6"/>
    <w:rsid w:val="500556C3"/>
    <w:rsid w:val="5015592D"/>
    <w:rsid w:val="50386C48"/>
    <w:rsid w:val="504601DC"/>
    <w:rsid w:val="50D73451"/>
    <w:rsid w:val="50E449C6"/>
    <w:rsid w:val="51046EAC"/>
    <w:rsid w:val="51340035"/>
    <w:rsid w:val="517B5C63"/>
    <w:rsid w:val="517F39A6"/>
    <w:rsid w:val="51B80C66"/>
    <w:rsid w:val="51D535C6"/>
    <w:rsid w:val="51E732F9"/>
    <w:rsid w:val="52061DA5"/>
    <w:rsid w:val="52102850"/>
    <w:rsid w:val="530D4FE1"/>
    <w:rsid w:val="53810BA0"/>
    <w:rsid w:val="53822331"/>
    <w:rsid w:val="53A019B1"/>
    <w:rsid w:val="53CD4642"/>
    <w:rsid w:val="53D55AFF"/>
    <w:rsid w:val="542B1BC3"/>
    <w:rsid w:val="542F13F1"/>
    <w:rsid w:val="545B69ED"/>
    <w:rsid w:val="546609D7"/>
    <w:rsid w:val="54736A38"/>
    <w:rsid w:val="547E32FD"/>
    <w:rsid w:val="54A13488"/>
    <w:rsid w:val="54DC6E7C"/>
    <w:rsid w:val="5588094F"/>
    <w:rsid w:val="561074EC"/>
    <w:rsid w:val="56326FEA"/>
    <w:rsid w:val="564E3947"/>
    <w:rsid w:val="576C0528"/>
    <w:rsid w:val="58093FC9"/>
    <w:rsid w:val="581F1A3E"/>
    <w:rsid w:val="582F26AA"/>
    <w:rsid w:val="583979D9"/>
    <w:rsid w:val="58AE4B70"/>
    <w:rsid w:val="58B959EF"/>
    <w:rsid w:val="59092819"/>
    <w:rsid w:val="59446A75"/>
    <w:rsid w:val="59605B4E"/>
    <w:rsid w:val="59D3448C"/>
    <w:rsid w:val="5A1137EC"/>
    <w:rsid w:val="5A20736C"/>
    <w:rsid w:val="5A843DDB"/>
    <w:rsid w:val="5A93401E"/>
    <w:rsid w:val="5A953457"/>
    <w:rsid w:val="5AA4447D"/>
    <w:rsid w:val="5AC24903"/>
    <w:rsid w:val="5B2F1F99"/>
    <w:rsid w:val="5B414AC9"/>
    <w:rsid w:val="5B7F66EF"/>
    <w:rsid w:val="5B9D300A"/>
    <w:rsid w:val="5C2018E1"/>
    <w:rsid w:val="5C451348"/>
    <w:rsid w:val="5D0104EC"/>
    <w:rsid w:val="5D077EB4"/>
    <w:rsid w:val="5D3033E5"/>
    <w:rsid w:val="5D355860"/>
    <w:rsid w:val="5D550132"/>
    <w:rsid w:val="5DBF1882"/>
    <w:rsid w:val="5DE31748"/>
    <w:rsid w:val="5DE66B5A"/>
    <w:rsid w:val="5DFD5D57"/>
    <w:rsid w:val="5E174F66"/>
    <w:rsid w:val="5E1A0077"/>
    <w:rsid w:val="5E451AD3"/>
    <w:rsid w:val="5E831E3D"/>
    <w:rsid w:val="5E8B1BDC"/>
    <w:rsid w:val="5EDF7832"/>
    <w:rsid w:val="5EE72B8A"/>
    <w:rsid w:val="5EF05EE3"/>
    <w:rsid w:val="5F444FFA"/>
    <w:rsid w:val="5F913BAF"/>
    <w:rsid w:val="5F9E76ED"/>
    <w:rsid w:val="5F9F5213"/>
    <w:rsid w:val="60164D85"/>
    <w:rsid w:val="60222571"/>
    <w:rsid w:val="604D4D70"/>
    <w:rsid w:val="60A76A75"/>
    <w:rsid w:val="60C12FA9"/>
    <w:rsid w:val="60EE1FAE"/>
    <w:rsid w:val="6106310F"/>
    <w:rsid w:val="61781102"/>
    <w:rsid w:val="619743F4"/>
    <w:rsid w:val="61AD00BB"/>
    <w:rsid w:val="61B054B5"/>
    <w:rsid w:val="61D21263"/>
    <w:rsid w:val="61DE3133"/>
    <w:rsid w:val="620F48F1"/>
    <w:rsid w:val="621F482F"/>
    <w:rsid w:val="624F5918"/>
    <w:rsid w:val="63360671"/>
    <w:rsid w:val="63365FCF"/>
    <w:rsid w:val="63536A40"/>
    <w:rsid w:val="635A7128"/>
    <w:rsid w:val="63FA3360"/>
    <w:rsid w:val="64AF1F1B"/>
    <w:rsid w:val="657F1D6E"/>
    <w:rsid w:val="65864EAB"/>
    <w:rsid w:val="65FA25DA"/>
    <w:rsid w:val="660B26D0"/>
    <w:rsid w:val="665A5C40"/>
    <w:rsid w:val="6678081E"/>
    <w:rsid w:val="668C0B60"/>
    <w:rsid w:val="668D6E2F"/>
    <w:rsid w:val="670B3E3B"/>
    <w:rsid w:val="671D35ED"/>
    <w:rsid w:val="67310E46"/>
    <w:rsid w:val="676C6322"/>
    <w:rsid w:val="678357B4"/>
    <w:rsid w:val="67A376E5"/>
    <w:rsid w:val="67B9783F"/>
    <w:rsid w:val="67D53EC8"/>
    <w:rsid w:val="67DD0FCE"/>
    <w:rsid w:val="68255321"/>
    <w:rsid w:val="68484B73"/>
    <w:rsid w:val="686F09A9"/>
    <w:rsid w:val="68B12E92"/>
    <w:rsid w:val="68BC5088"/>
    <w:rsid w:val="68DC4DE2"/>
    <w:rsid w:val="692A0243"/>
    <w:rsid w:val="69383E7B"/>
    <w:rsid w:val="696279DD"/>
    <w:rsid w:val="69C07885"/>
    <w:rsid w:val="69D750BF"/>
    <w:rsid w:val="6A464C09"/>
    <w:rsid w:val="6A486BD3"/>
    <w:rsid w:val="6A614F81"/>
    <w:rsid w:val="6AD27EE4"/>
    <w:rsid w:val="6AE46E66"/>
    <w:rsid w:val="6B00703F"/>
    <w:rsid w:val="6B5A620B"/>
    <w:rsid w:val="6B8603A1"/>
    <w:rsid w:val="6BD10E4A"/>
    <w:rsid w:val="6C134FBF"/>
    <w:rsid w:val="6C4B4758"/>
    <w:rsid w:val="6C702411"/>
    <w:rsid w:val="6C8E0AE9"/>
    <w:rsid w:val="6C9675D9"/>
    <w:rsid w:val="6C9B1275"/>
    <w:rsid w:val="6CA81BAB"/>
    <w:rsid w:val="6CBA18DE"/>
    <w:rsid w:val="6CD97FB6"/>
    <w:rsid w:val="6CED562C"/>
    <w:rsid w:val="6D140D7C"/>
    <w:rsid w:val="6D201CBC"/>
    <w:rsid w:val="6D5E670D"/>
    <w:rsid w:val="6D85297B"/>
    <w:rsid w:val="6D9263B7"/>
    <w:rsid w:val="6DA02882"/>
    <w:rsid w:val="6DAD1A06"/>
    <w:rsid w:val="6DAE0310"/>
    <w:rsid w:val="6DD61961"/>
    <w:rsid w:val="6E386F5E"/>
    <w:rsid w:val="6E4C2A0A"/>
    <w:rsid w:val="6F490CF7"/>
    <w:rsid w:val="6F81195E"/>
    <w:rsid w:val="6F8A6178"/>
    <w:rsid w:val="705F4C76"/>
    <w:rsid w:val="70730722"/>
    <w:rsid w:val="70C8281B"/>
    <w:rsid w:val="7113780F"/>
    <w:rsid w:val="712B33A4"/>
    <w:rsid w:val="717A163C"/>
    <w:rsid w:val="71955614"/>
    <w:rsid w:val="72200E6E"/>
    <w:rsid w:val="723143F0"/>
    <w:rsid w:val="72324A62"/>
    <w:rsid w:val="724063E2"/>
    <w:rsid w:val="72444124"/>
    <w:rsid w:val="72822E9E"/>
    <w:rsid w:val="72DF209E"/>
    <w:rsid w:val="72E324BA"/>
    <w:rsid w:val="72FC1A86"/>
    <w:rsid w:val="73031A98"/>
    <w:rsid w:val="73504D4A"/>
    <w:rsid w:val="73530396"/>
    <w:rsid w:val="73691968"/>
    <w:rsid w:val="73BC23E0"/>
    <w:rsid w:val="73BE02D8"/>
    <w:rsid w:val="73C51294"/>
    <w:rsid w:val="73D9089C"/>
    <w:rsid w:val="743D4621"/>
    <w:rsid w:val="749B5C86"/>
    <w:rsid w:val="74B44E65"/>
    <w:rsid w:val="74FC0CE6"/>
    <w:rsid w:val="751F2C26"/>
    <w:rsid w:val="75481A38"/>
    <w:rsid w:val="75A74228"/>
    <w:rsid w:val="75E5322E"/>
    <w:rsid w:val="76342876"/>
    <w:rsid w:val="76515061"/>
    <w:rsid w:val="76674885"/>
    <w:rsid w:val="769531DE"/>
    <w:rsid w:val="769767EC"/>
    <w:rsid w:val="76BA0E58"/>
    <w:rsid w:val="76C515AB"/>
    <w:rsid w:val="76F226FE"/>
    <w:rsid w:val="77C656F3"/>
    <w:rsid w:val="77D31AA6"/>
    <w:rsid w:val="780C4316"/>
    <w:rsid w:val="789008F3"/>
    <w:rsid w:val="79112886"/>
    <w:rsid w:val="79323CB8"/>
    <w:rsid w:val="793F48BF"/>
    <w:rsid w:val="7956526A"/>
    <w:rsid w:val="79786DA9"/>
    <w:rsid w:val="798F2604"/>
    <w:rsid w:val="79B70DFC"/>
    <w:rsid w:val="79DA35C0"/>
    <w:rsid w:val="79DC10E6"/>
    <w:rsid w:val="7A1924AA"/>
    <w:rsid w:val="7A48123C"/>
    <w:rsid w:val="7A566842"/>
    <w:rsid w:val="7A8E473B"/>
    <w:rsid w:val="7AC36DE8"/>
    <w:rsid w:val="7AEC7106"/>
    <w:rsid w:val="7AF0069D"/>
    <w:rsid w:val="7B152B01"/>
    <w:rsid w:val="7B4A56E6"/>
    <w:rsid w:val="7B510A55"/>
    <w:rsid w:val="7B6E5D6D"/>
    <w:rsid w:val="7B881E48"/>
    <w:rsid w:val="7BB15EFA"/>
    <w:rsid w:val="7BC40083"/>
    <w:rsid w:val="7BC65BA9"/>
    <w:rsid w:val="7C0E3995"/>
    <w:rsid w:val="7C897E2D"/>
    <w:rsid w:val="7C8F68E3"/>
    <w:rsid w:val="7CB2612E"/>
    <w:rsid w:val="7CC61BD9"/>
    <w:rsid w:val="7D162B61"/>
    <w:rsid w:val="7D3923AB"/>
    <w:rsid w:val="7D697A38"/>
    <w:rsid w:val="7D7B7142"/>
    <w:rsid w:val="7DDF73F6"/>
    <w:rsid w:val="7E191B65"/>
    <w:rsid w:val="7E1E7F1F"/>
    <w:rsid w:val="7E5E47BF"/>
    <w:rsid w:val="7E725B75"/>
    <w:rsid w:val="7EB2097F"/>
    <w:rsid w:val="7EC17763"/>
    <w:rsid w:val="7EEF3669"/>
    <w:rsid w:val="7F051DB8"/>
    <w:rsid w:val="7F17496E"/>
    <w:rsid w:val="7F405C73"/>
    <w:rsid w:val="7F453289"/>
    <w:rsid w:val="7F6776A3"/>
    <w:rsid w:val="7FAA1A26"/>
    <w:rsid w:val="7FAE08F2"/>
    <w:rsid w:val="7FCE14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paragraph" w:styleId="3">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0"/>
    <w:rPr>
      <w:rFonts w:ascii="仿宋" w:hAnsi="仿宋" w:eastAsia="仿宋" w:cs="仿宋"/>
      <w:sz w:val="31"/>
      <w:szCs w:val="31"/>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toc 1"/>
    <w:basedOn w:val="1"/>
    <w:next w:val="1"/>
    <w:qFormat/>
    <w:uiPriority w:val="0"/>
  </w:style>
  <w:style w:type="paragraph" w:styleId="8">
    <w:name w:val="toc 2"/>
    <w:basedOn w:val="1"/>
    <w:next w:val="1"/>
    <w:qFormat/>
    <w:uiPriority w:val="0"/>
    <w:pPr>
      <w:ind w:left="420" w:leftChars="200"/>
    </w:p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Emphasis"/>
    <w:basedOn w:val="11"/>
    <w:qFormat/>
    <w:uiPriority w:val="0"/>
    <w:rPr>
      <w:i/>
    </w:rPr>
  </w:style>
  <w:style w:type="paragraph" w:customStyle="1" w:styleId="14">
    <w:name w:val="WPSOffice手动目录 1"/>
    <w:qFormat/>
    <w:uiPriority w:val="0"/>
    <w:rPr>
      <w:rFonts w:asciiTheme="minorHAnsi" w:hAnsiTheme="minorHAnsi" w:eastAsiaTheme="minorEastAsia" w:cstheme="minorBidi"/>
      <w:lang w:val="en-US" w:eastAsia="zh-CN" w:bidi="ar-SA"/>
    </w:rPr>
  </w:style>
  <w:style w:type="paragraph" w:customStyle="1" w:styleId="15">
    <w:name w:val="WPSOffice手动目录 2"/>
    <w:qFormat/>
    <w:uiPriority w:val="0"/>
    <w:pPr>
      <w:ind w:left="200" w:leftChars="200"/>
    </w:pPr>
    <w:rPr>
      <w:rFonts w:asciiTheme="minorHAnsi" w:hAnsiTheme="minorHAnsi" w:eastAsiaTheme="minorEastAsia" w:cstheme="minorBidi"/>
      <w:lang w:val="en-US" w:eastAsia="zh-CN" w:bidi="ar-SA"/>
    </w:rPr>
  </w:style>
  <w:style w:type="paragraph" w:customStyle="1" w:styleId="16">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6707</Words>
  <Characters>7311</Characters>
  <Lines>365</Lines>
  <Paragraphs>292</Paragraphs>
  <TotalTime>23</TotalTime>
  <ScaleCrop>false</ScaleCrop>
  <LinksUpToDate>false</LinksUpToDate>
  <CharactersWithSpaces>13726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2025-02-21T10:22:00Z</dcterms:created>
  <dc:creator>Unine</dc:creator>
  <cp:lastModifiedBy>zjt</cp:lastModifiedBy>
  <cp:lastPrinted>2025-09-23T07:51:00Z</cp:lastPrinted>
  <dcterms:modified xsi:type="dcterms:W3CDTF">2025-09-28T14:29:45Z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62A7C17E104B48B0BD22D5D6FC06838E_13</vt:lpwstr>
  </property>
  <property fmtid="{D5CDD505-2E9C-101B-9397-08002B2CF9AE}" pid="4" name="KSOTemplateDocerSaveRecord">
    <vt:lpwstr>eyJoZGlkIjoiOTViOThjZGJmNWJiNjRkYmI3NDdmMjkwMDM0MDU2YWMiLCJ1c2VySWQiOiI1MjY5MjcyNTcifQ==</vt:lpwstr>
  </property>
</Properties>
</file>